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86R4252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for the building products, materials, or methods used in the construction of residential or commercial structures.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10, Government Code, is amended by adding Subtitle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Z. MISCELLANEOUS PROVISIONS PROHIBITING CERTAIN GOVERNMENTAL ACTIONS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3000. GOVERNMENTAL ACTION AFFECTING RESIDENTIAL AND COMMERCIAL CONSTRUCTION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"National model code" has the meaning assigned by Section 214.217, Local Government Code.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has the meaning assigned by Section 2007.002.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REGULATIONS REGARDING BUILDING PRODUCTS, MATERIALS, OR METHODS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governmental entity may not adopt or enforce a rule, charter provision, ordinance, order, or other regulation that prohibits, directly or indirectly, the use of a building product, material, or method in the construction, renovation, maintenance, or other alteration of a residential or commercial structure if the building product, material, or method is approved for use by a national model code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adopted by the governmental entity;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governs the construction, renovation, use, or maintenance of buildings and building systems.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rule, charter provision, ordinance, order, or other regulation adopted by a governmental entity that conflicts with this section is void.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INJUNCTION.  (a)  The attorney general may bring an action in the name of the state to enjoin a violation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attorney's fees and costs incurred in bringing an action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