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 et al.</w:t>
      </w:r>
      <w:r>
        <w:t xml:space="preserve"> (Senate Sponsor</w:t>
      </w:r>
      <w:r xml:space="preserve">
        <w:t> </w:t>
      </w:r>
      <w:r>
        <w:t xml:space="preserve">-</w:t>
      </w:r>
      <w:r xml:space="preserve">
        <w:t> </w:t>
      </w:r>
      <w:r>
        <w:t xml:space="preserve">Buckingham)</w:t>
      </w:r>
      <w:r xml:space="preserve">
        <w:tab wTab="150" tlc="none" cTlc="0"/>
      </w:r>
      <w:r>
        <w:t xml:space="preserve">H.B.</w:t>
      </w:r>
      <w:r xml:space="preserve">
        <w:t> </w:t>
      </w:r>
      <w:r>
        <w:t xml:space="preserve">No.</w:t>
      </w:r>
      <w:r xml:space="preserve">
        <w:t> </w:t>
      </w:r>
      <w:r>
        <w:t xml:space="preserve">2439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30,</w:t>
      </w:r>
      <w:r xml:space="preserve">
        <w:t> </w:t>
      </w:r>
      <w:r>
        <w:t xml:space="preserve">2019; May</w:t>
      </w:r>
      <w:r xml:space="preserve">
        <w:t> </w:t>
      </w:r>
      <w:r>
        <w:t xml:space="preserve">8,</w:t>
      </w:r>
      <w:r xml:space="preserve">
        <w:t> </w:t>
      </w:r>
      <w:r>
        <w:t xml:space="preserve">2019, read first time and referred to Committee on Business &amp; Commerce; May</w:t>
      </w:r>
      <w:r xml:space="preserve">
        <w:t> </w:t>
      </w:r>
      <w:r>
        <w:t xml:space="preserve">16,</w:t>
      </w:r>
      <w:r xml:space="preserve">
        <w:t> </w:t>
      </w:r>
      <w:r>
        <w:t xml:space="preserve">2019, reported favorably by the following vote:</w:t>
      </w:r>
      <w:r>
        <w:t xml:space="preserve"> </w:t>
      </w:r>
      <w:r>
        <w:t xml:space="preserve"> </w:t>
      </w:r>
      <w:r>
        <w:t xml:space="preserve">Yeas 6, Nays 1; May</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regulations adopted by governmental entities for the building products, materials, or methods used in the construction or renovation of residential or commercial buildings.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10, Government Code, is amended by adding Subtitle Z to read as follows:</w:t>
      </w:r>
    </w:p>
    <w:p w:rsidR="003F3435" w:rsidRDefault="0032493E">
      <w:pPr>
        <w:spacing w:line="480" w:lineRule="auto"/>
        <w:jc w:val="center"/>
      </w:pPr>
      <w:r>
        <w:rPr>
          <w:u w:val="single"/>
        </w:rPr>
        <w:t xml:space="preserve">SUBTITLE Z. MISCELLANEOUS PROVISIONS PROHIBITING CERTAIN GOVERNMENTAL ACTIONS</w:t>
      </w:r>
    </w:p>
    <w:p w:rsidR="003F3435" w:rsidRDefault="0032493E">
      <w:pPr>
        <w:spacing w:line="480" w:lineRule="auto"/>
        <w:jc w:val="center"/>
      </w:pPr>
      <w:r>
        <w:rPr>
          <w:u w:val="single"/>
        </w:rPr>
        <w:t xml:space="preserve">CHAPTER 3000. GOVERNMENTAL ACTION AFFECTING RESIDENTIAL AND COMMERCIAL CONSTRUCTION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"National model code" has the meaning assigned by Section 214.217,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 entity" has the meaning assigned by Section 2007.002.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3000.002.</w:t>
      </w:r>
      <w:r>
        <w:rPr>
          <w:u w:val="single"/>
        </w:rPr>
        <w:t xml:space="preserve"> </w:t>
      </w:r>
      <w:r>
        <w:rPr>
          <w:u w:val="single"/>
        </w:rPr>
        <w:t xml:space="preserve"> </w:t>
      </w:r>
      <w:r>
        <w:rPr>
          <w:u w:val="single"/>
        </w:rPr>
        <w:t xml:space="preserve">CERTAIN REGULATIONS REGARDING BUILDING PRODUCTS, MATERIALS, OR METHODS PROHIBITED. </w:t>
      </w:r>
      <w:r>
        <w:rPr>
          <w:u w:val="single"/>
        </w:rPr>
        <w:t xml:space="preserve"> </w:t>
      </w:r>
      <w:r>
        <w:rPr>
          <w:u w:val="single"/>
        </w:rPr>
        <w:t xml:space="preserve">(a) </w:t>
      </w:r>
      <w:r>
        <w:rPr>
          <w:u w:val="single"/>
        </w:rPr>
        <w:t xml:space="preserve"> </w:t>
      </w:r>
      <w:r>
        <w:rPr>
          <w:u w:val="single"/>
        </w:rPr>
        <w:t xml:space="preserve">Notwithstanding any other law and except as provided by Subsection (d), a governmental entity may not adopt or enforce a rule, charter provision, ordinance, order, building code, or other regulation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prohibits or limits, directly or indirectly, the use or installation of a building product or material in the construction, renovation, maintenance, or other alteration of a residential or commercial building if the building product or material is approved for use by a national model code published within the last three code cycles that applies to the construction, renovation, maintenance, or other alteration of the building;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establishes a standard for a building product, material, or aesthetic method in construction, renovation, maintenance, or other alteration of a residential or commercial building if the standard is more stringent than a standard for the product, material, or aesthetic method under a national model code published within the last three code cycles that applies to the construction, renovation, maintenance, or other alteration of the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that adopts a building code governing the construction, renovation, maintenance, or other alteration of a residential or commercial building may amend a provision of the building code to conform to local concerns if the amendment does not conflict with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program established by a state agency that requires particular standards, incentives, or financing arrangements in order to comply with requirements of a state or federal funding source or housing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requirement for a building necessary to consider the building eligible for windstorm and hail insurance coverage under Chapter 2210, Insurance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ordinance or other regulation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outdoor lighting for the purpose of reducing light pollution;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adopted by a governmental entity that is certified as a Dark Sky Community by the International Dark-Sky Association as part of the International Dark Sky Places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ordinance or order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outdoor lighting;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adopted under Subchapter B, Chapter 229, Local Government Code, or Subchapter B, Chapter 240, Local Government Code;</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building located in a place or area designated for its historical, cultural, or architectural importance and significance that a municipality may regulate under Section 211.003(b), Local Government Code, if the municipality: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certified local government under the National Historic Preservation Act (54 U.S.C. Section 300101 et seq.);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an applicable landmark ordinance that meets the requirements under the certified local government program as determined by the Texas Historical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building located in a place or area designated for its historical, cultural, or architectural importance and significance by a governmental entity, if designated before April 1, 2019;</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building located in an area designated as a historic district on the National Register of Historic Places;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building designated as a Recorded Texas Historic Landmark;</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building designated as a State Archeological Landmark or State Antiquities Landmark;</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building listed on the National Register of Historic Places or designated as a landmark by a governmental entity;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building located in a World Heritage Buffer Zone;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building located in an area designated for development, restoration, or preservation in a main street city under the main street program established under Section 442.014.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that is not a municipality described by Subsection (c)(3)(A) or (B) may adopt or enforce a regulation described by Subsection (a) that applies to a building located in a place or area designated on or after April 1, 2019, by the municipality for its historical, cultural, or architectural importance and significance, if the municipality has the voluntary consent from the building owner.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rule, charter provision, ordinance, order, building code, or other regulation adopted by a governmental entity that conflicts with this section is void.</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3000.003.</w:t>
      </w:r>
      <w:r>
        <w:rPr>
          <w:u w:val="single"/>
        </w:rPr>
        <w:t xml:space="preserve"> </w:t>
      </w:r>
      <w:r>
        <w:rPr>
          <w:u w:val="single"/>
        </w:rPr>
        <w:t xml:space="preserve"> </w:t>
      </w:r>
      <w:r>
        <w:rPr>
          <w:u w:val="single"/>
        </w:rPr>
        <w:t xml:space="preserve">INJUNCTION.  (a)  The attorney general or an aggrieved party may file an action in district court to enjoin a violation or threatened violation of Section 3000.002.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grant appropriate relief.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recover reasonable attorney's fees and costs incurred in bringing an action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Sovereign and governmental immunity to suit is waived and abolished only to the extent necessary to enforce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3000.004.</w:t>
      </w:r>
      <w:r>
        <w:rPr>
          <w:u w:val="single"/>
        </w:rPr>
        <w:t xml:space="preserve"> </w:t>
      </w:r>
      <w:r>
        <w:rPr>
          <w:u w:val="single"/>
        </w:rPr>
        <w:t xml:space="preserve"> </w:t>
      </w:r>
      <w:r>
        <w:rPr>
          <w:u w:val="single"/>
        </w:rPr>
        <w:t xml:space="preserve">OTHER PROVISIONS NOT AFFECTED. </w:t>
      </w:r>
      <w:r>
        <w:rPr>
          <w:u w:val="single"/>
        </w:rPr>
        <w:t xml:space="preserve"> </w:t>
      </w:r>
      <w:r>
        <w:rPr>
          <w:u w:val="single"/>
        </w:rPr>
        <w:t xml:space="preserve">This chapter does not affect provisions regarding the installation of a fire sprinkler protection system under Section 1301.551(i), Occupations Code, or Section 775.045(a)(1),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3000.005.</w:t>
      </w:r>
      <w:r>
        <w:rPr>
          <w:u w:val="single"/>
        </w:rPr>
        <w:t xml:space="preserve"> </w:t>
      </w:r>
      <w:r>
        <w:rPr>
          <w:u w:val="single"/>
        </w:rPr>
        <w:t xml:space="preserve"> </w:t>
      </w:r>
      <w:r>
        <w:rPr>
          <w:u w:val="single"/>
        </w:rPr>
        <w:t xml:space="preserve">SEVERABILITY.  If any provision of a rule, charter provision, ordinance, order, building code, or other regulation described by Section 3000.002(a) is held invalid under this chapter, the invalidity does not affect other provisions or applications of the rule, charter provision, ordinance, order, building code, or other regulation that can be given effect without the invalid provision or application, and to this end the provisions of the rule, charter provision, ordinance, order, building code, or other regulation are severable.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