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86R13443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offenses involving parking in a space designated for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681.011, Transportation Code, is amended by amending Subsection (g) and adding Subsections (g-1) and (g-2)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Subsections </w:t>
      </w:r>
      <w:r>
        <w:rPr>
          <w:u w:val="single"/>
        </w:rPr>
        <w:t xml:space="preserve">(g-1), (h), (i), (j), and (k)</w:t>
      </w:r>
      <w:r>
        <w:t xml:space="preserve"> [</w:t>
      </w:r>
      <w:r>
        <w:rPr>
          <w:strike/>
        </w:rPr>
        <w:t xml:space="preserve">(h)-(k)</w:t>
      </w:r>
      <w:r>
        <w:t xml:space="preserve">], an offense under this section is a misdemeanor punishable by a fine of not less than $500 or more than $750.</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lieu of imposing a fine on conviction under Subsection (g), the court may order a person who has not previously been convicted of an offense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community service at a nonprofit organization that serves persons with disabilities or persons with disabling diseases;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community service that may sensitize the person to the needs of and obstacles faced by persons with disabilities;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attend education classes on disability awareness and accessible parking.</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court shall set the number of hours of community service or education classes required under Subsection (g-1).</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