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86R19618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addition of territory to a crime control and prevention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363.181,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363.181.</w:t>
      </w:r>
      <w:r xml:space="preserve">
        <w:t> </w:t>
      </w:r>
      <w:r xml:space="preserve">
        <w:t> </w:t>
      </w:r>
      <w:r>
        <w:t xml:space="preserve">ELECTION REQUIRED.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governing body that created a </w:t>
      </w:r>
      <w:r>
        <w:rPr>
          <w:u w:val="single"/>
        </w:rPr>
        <w:t xml:space="preserve">crime control and prevention</w:t>
      </w:r>
      <w:r>
        <w:t xml:space="preserve"> district may add all or part of the territory in the political subdivision governed by that body to the district and the district may impose a tax in that territory only if the addition of the territory and the imposition of the tax are approved by a majority of the qualified voters of the territory to be added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that created a crime control and prevention district may add all or part of the territory in the municipality's extraterritorial jurisdiction to the district and the district may impose a tax in that territory only if the addition of the territory and the imposition of the tax are approved by a majority of the qualified voters of the territory to be added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