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86R12440 JON-F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reduce recidivism by facilitating stable employment for persons who are preparing to reenter communities of this state after incarceration.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501, Government Code, is amended by adding Section 501.104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501.104.</w:t>
      </w:r>
      <w:r>
        <w:rPr>
          <w:u w:val="single"/>
        </w:rPr>
        <w:t xml:space="preserve"> </w:t>
      </w:r>
      <w:r>
        <w:rPr>
          <w:u w:val="single"/>
        </w:rPr>
        <w:t xml:space="preserve"> </w:t>
      </w:r>
      <w:r>
        <w:rPr>
          <w:u w:val="single"/>
        </w:rPr>
        <w:t xml:space="preserve">PLAN FOR REDUCING RECIDIVISM BY FACILITATING STABLE EMPLOYMENT.  (a) </w:t>
      </w:r>
      <w:r>
        <w:rPr>
          <w:u w:val="single"/>
        </w:rPr>
        <w:t xml:space="preserve"> </w:t>
      </w:r>
      <w:r>
        <w:rPr>
          <w:u w:val="single"/>
        </w:rPr>
        <w:t xml:space="preserve">Not later than December 1, 2020, the department, in collaboration with the Texas Workforce Commission and the Office of Court Administration of the Texas Judicial System, shall develop a five-year strategic plan to reduce recidivism by facilitating stable employment for persons who are reentering communities of this state after incarceration. The department shall submit the plan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standing committees of the house and senate primarily responsible for criminal justice issues and corrections issues.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data regarding the relationship between employment and recidivism;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analysis of data regarding the effect of incarceration on a person's ability to pay financial obligations, including fines, fees, court costs, and child support;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barriers to employment faced by persons who are reentering communities of this state after incarceration;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on how the comprehensive reentry and reintegration plan adopted under Section 501.092 should be amended to support the strategic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recommendations to the legislature for statutory changes that would allow the department to assist incarcerated persons in obtaining credits or wages that would reduce any financial obligations before and after reentry;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evaluation of opportunities for incarcerated persons to earn credit toward occupational licenses while incarcerated;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design for a pilot program that would train incarcerated persons, pay a private sector wage, and deposit a portion of those wages in an account from which payments for financial obligations may be withdrawn.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