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86R19682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xml:space="preserve">
        <w:tab wTab="150" tlc="none" cTlc="0"/>
      </w:r>
      <w:r>
        <w:t xml:space="preserve">H.B.</w:t>
      </w:r>
      <w:r xml:space="preserve">
        <w:t> </w:t>
      </w:r>
      <w:r>
        <w:t xml:space="preserve">No.</w:t>
      </w:r>
      <w:r xml:space="preserve">
        <w:t> </w:t>
      </w:r>
      <w:r>
        <w:t xml:space="preserve">2452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2452:</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2452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with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Occupations Code, is amended by amending Subsection (b) and adding Subsections (b-1) and (e) to read as follows:</w:t>
      </w:r>
    </w:p>
    <w:p w:rsidR="003F3435" w:rsidRDefault="0032493E">
      <w:pPr>
        <w:spacing w:line="480" w:lineRule="auto"/>
        <w:ind w:firstLine="720"/>
        <w:jc w:val="both"/>
      </w:pPr>
      <w:r>
        <w:t xml:space="preserve">(b)</w:t>
      </w:r>
      <w:r xml:space="preserve">
        <w:t> </w:t>
      </w:r>
      <w:r xml:space="preserve">
        <w:t> </w:t>
      </w:r>
      <w:r>
        <w:t xml:space="preserve">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rPr>
          <w:u w:val="single"/>
        </w:rPr>
        <w:t xml:space="preserve">except for a complaint described by Subsection (b-1),</w:t>
      </w:r>
      <w:r>
        <w:t xml:space="preserve">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accept, but is not required to investigate, a complaint that lacks sufficient information to identify the source or the name of the person who filed the complaint.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contract with a qualified individual to assist the department with reviewing or investigating complaints filed with the department.  Except for an act of the individual involving fraud, conspiracy, or malice, an individual with whom the department contracts under this subsection is immune from liability and may not be subject to a suit for damages for any act arising from the performance of the individual's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expert opinion or technical guidance on an alleged violation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establishing a regulatory program administered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rule adopted or order issued by the executive director or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