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Texas Department of Licensing and Regulation complaint review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51.252, Occupations Code,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contract with a qualified individual to assist with the complaint review process.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any action by a qualified individual involving fraud, conspiracy, or malice, a qualified individual with whom the department contracts to provide complaint review services is immune from liability and may not be subject to a suit for damages for any act arising from the performance of their duties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in an informal conference to determine the facts of a complaint;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evaluating evidence in a complaint filed with the department and offering an expert opinion or technical guidance about possible violations;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testifying at a hearing regarding a complaint;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making an evaluation, report, or recommendation regarding a complaint.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accept, but is not obligated to investigate, a complaint that lacks sufficient information to identify the source or the name of the person who filed the complaint.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