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86R9317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2457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obligations of and limitations on landlords regarding residential tenants' rental payments, late fees, and security deposits.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92.011, Property Code, is amended to read as follows:</w:t>
      </w:r>
    </w:p>
    <w:p w:rsidR="003F3435" w:rsidRDefault="0032493E">
      <w:pPr>
        <w:spacing w:line="480" w:lineRule="auto"/>
        <w:ind w:firstLine="720"/>
        <w:jc w:val="both"/>
      </w:pPr>
      <w:r>
        <w:t xml:space="preserve">Sec.</w:t>
      </w:r>
      <w:r xml:space="preserve">
        <w:t> </w:t>
      </w:r>
      <w:r>
        <w:t xml:space="preserve">92.011.</w:t>
      </w:r>
      <w:r xml:space="preserve">
        <w:t> </w:t>
      </w:r>
      <w:r xml:space="preserve">
        <w:t> </w:t>
      </w:r>
      <w:r>
        <w:t xml:space="preserve">[</w:t>
      </w:r>
      <w:r>
        <w:rPr>
          <w:strike/>
        </w:rPr>
        <w:t xml:space="preserve">CASH</w:t>
      </w:r>
      <w:r>
        <w:t xml:space="preserve">] RENTAL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92.011,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landlord shall apply any payment received from a tenant to unpaid rent before applying the payment to a fee, charge, or other sum of money owed by the tenant that is not rent.  This subsection applies without regard to the method of payment.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92.019, Property Code, is amended by amending Subsection (a)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landlord may not charge a tenant a late fee for failing to pay rent unless:</w:t>
      </w:r>
    </w:p>
    <w:p w:rsidR="003F3435" w:rsidRDefault="0032493E">
      <w:pPr>
        <w:spacing w:line="480" w:lineRule="auto"/>
        <w:ind w:firstLine="1440"/>
        <w:jc w:val="both"/>
      </w:pPr>
      <w:r>
        <w:t xml:space="preserve">(1)</w:t>
      </w:r>
      <w:r xml:space="preserve">
        <w:t> </w:t>
      </w:r>
      <w:r xml:space="preserve">
        <w:t> </w:t>
      </w:r>
      <w:r>
        <w:t xml:space="preserve">notice of the fee is included in a written lease;</w:t>
      </w:r>
    </w:p>
    <w:p w:rsidR="003F3435" w:rsidRDefault="0032493E">
      <w:pPr>
        <w:spacing w:line="480" w:lineRule="auto"/>
        <w:ind w:firstLine="1440"/>
        <w:jc w:val="both"/>
      </w:pPr>
      <w:r>
        <w:t xml:space="preserve">(2)</w:t>
      </w:r>
      <w:r xml:space="preserve">
        <w:t> </w:t>
      </w:r>
      <w:r xml:space="preserve">
        <w:t> </w:t>
      </w:r>
      <w:r>
        <w:t xml:space="preserve">the fee is a reasonable estimate of uncertain damages to the landlord that are incapable of precise calculation and result from late payment of rent;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rent has remained unpaid one full day after the date the rent was originally due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landlord has recorded the date and amount of the assessed fee in a record book or other recordkeeping system maintained by the landlord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record maintained by the landlord under Subsection (a)(4) must be made available for inspection on request by a tenant. </w:t>
      </w:r>
      <w:r>
        <w:rPr>
          <w:u w:val="single"/>
        </w:rPr>
        <w:t xml:space="preserve"> </w:t>
      </w:r>
      <w:r>
        <w:rPr>
          <w:u w:val="single"/>
        </w:rPr>
        <w:t xml:space="preserve">A landlord may satisfy the requirement of this subsection by making the record available in electronic form.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landlord may not charge a tenant a late fee on an unpaid amount that does not include unpaid rent and consists entirely of a fee, charge, or other sum of money owed by the tenant that is not rent, including a late fee charged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92.104(c), Property Code, is amended to read as follows:</w:t>
      </w:r>
    </w:p>
    <w:p w:rsidR="003F3435" w:rsidRDefault="0032493E">
      <w:pPr>
        <w:spacing w:line="480" w:lineRule="auto"/>
        <w:ind w:firstLine="720"/>
        <w:jc w:val="both"/>
      </w:pPr>
      <w:r>
        <w:t xml:space="preserve">(c)</w:t>
      </w:r>
      <w:r xml:space="preserve">
        <w:t> </w:t>
      </w:r>
      <w:r xml:space="preserve">
        <w:t> </w:t>
      </w:r>
      <w:r>
        <w:t xml:space="preserve">If the landlord retains all or part of a security deposit under this section, the landlord shall give to the tenant the balance of the security deposit, if any, together with a written description and itemized list of all deductions.  [</w:t>
      </w:r>
      <w:r>
        <w:rPr>
          <w:strike/>
        </w:rPr>
        <w:t xml:space="preserve">The landlord is not required to give the tenant a description and itemized list of deductions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tenant owes rent when he surrenders possession of the premises;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is no controversy concerning the amount of rent owed.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