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Stucky, et al.</w:t>
      </w:r>
      <w:r>
        <w:t xml:space="preserve"> (Senate Sponsor</w:t>
      </w:r>
      <w:r xml:space="preserve">
        <w:t> </w:t>
      </w:r>
      <w:r>
        <w:t xml:space="preserve">-</w:t>
      </w:r>
      <w:r xml:space="preserve">
        <w:t> </w:t>
      </w:r>
      <w:r>
        <w:t xml:space="preserve">Nelson)</w:t>
      </w:r>
      <w:r xml:space="preserve">
        <w:tab wTab="150" tlc="none" cTlc="0"/>
      </w:r>
      <w:r>
        <w:t xml:space="preserve">H.B.</w:t>
      </w:r>
      <w:r xml:space="preserve">
        <w:t> </w:t>
      </w:r>
      <w:r>
        <w:t xml:space="preserve">No.</w:t>
      </w:r>
      <w:r xml:space="preserve">
        <w:t> </w:t>
      </w:r>
      <w:r>
        <w:t xml:space="preserve">2461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29,</w:t>
      </w:r>
      <w:r xml:space="preserve">
        <w:t> </w:t>
      </w:r>
      <w:r>
        <w:t xml:space="preserve">2019; April</w:t>
      </w:r>
      <w:r xml:space="preserve">
        <w:t> </w:t>
      </w:r>
      <w:r>
        <w:t xml:space="preserve">29,</w:t>
      </w:r>
      <w:r xml:space="preserve">
        <w:t> </w:t>
      </w:r>
      <w:r>
        <w:t xml:space="preserve">2019, read first time and referred to Committee on Intergovernmental Relations; May</w:t>
      </w:r>
      <w:r xml:space="preserve">
        <w:t> </w:t>
      </w:r>
      <w:r>
        <w:t xml:space="preserve">13,</w:t>
      </w:r>
      <w:r xml:space="preserve">
        <w:t> </w:t>
      </w:r>
      <w:r>
        <w:t xml:space="preserve">2019, reported favorably by the following vote:</w:t>
      </w:r>
      <w:r>
        <w:t xml:space="preserve"> </w:t>
      </w:r>
      <w:r>
        <w:t xml:space="preserve"> </w:t>
      </w:r>
      <w:r>
        <w:t xml:space="preserve">Yeas 7, Nays 0; May</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territory of and fees imposed by certain emergency communication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772, Health and Safety Code, is amended by adding Section 772.3051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772.3051.</w:t>
      </w:r>
      <w:r>
        <w:rPr>
          <w:u w:val="single"/>
        </w:rPr>
        <w:t xml:space="preserve"> </w:t>
      </w:r>
      <w:r>
        <w:rPr>
          <w:u w:val="single"/>
        </w:rPr>
        <w:t xml:space="preserve"> </w:t>
      </w:r>
      <w:r>
        <w:rPr>
          <w:u w:val="single"/>
        </w:rPr>
        <w:t xml:space="preserve">REMOVAL OF CERTAIN MUNICIPAL TERRITORY.  (a) </w:t>
      </w:r>
      <w:r>
        <w:rPr>
          <w:u w:val="single"/>
        </w:rPr>
        <w:t xml:space="preserve"> </w:t>
      </w:r>
      <w:r>
        <w:rPr>
          <w:u w:val="single"/>
        </w:rPr>
        <w:t xml:space="preserve">A municipality that is a participating jurisdiction may request that the municipality be removed from the district if the municipality operated a consolidated public safety answering point with at least three emergency communication districts described by Section 771.001(3)(A) for at least a three-year period before September 1, 2019.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a district that receives a request under Subsection (a) shall approve the request and, not later than the 91st day before the date the removal will take effect, notify each service supplier providing service in the district of the scheduled removal. The removal must take effect on a date that: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allows the board to comply with the notice requirements of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later than the 180th day after the date the board receives the request.</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Removal of a municipality under this section does not diminish or impair the rights of the holders of any outstanding and unpaid bonds, warrants, or other obligations of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municipality is removed under this section, the municipality shall compensate the district in an amount equal to the municipality's pro rata share of the district's indebtedness at the time the municipality is removed.  The district shall apply compensation received from a municipality under this subsection exclusively to the payment of the municipality's pro rata share of the district's indebtedness.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772.314, Health and Safety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board may impose the fee at the rate authorized by Subsection (c) regardless of whether an election was held for the district under Chapter 288 (S.B. 750), Acts of the 69th Legislature, Regular Session, 1985, or former Article 1432e, Vernon's Texas Civil Statutes, at which the voters authorized a different rate.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