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86R9228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2467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certain county jailers.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1701.310(b),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county jailer appointed on a temporary basis who does not satisfactorily complete the preparatory training program </w:t>
      </w:r>
      <w:r>
        <w:rPr>
          <w:u w:val="single"/>
        </w:rPr>
        <w:t xml:space="preserve">on or before the 90th day after</w:t>
      </w:r>
      <w:r>
        <w:t xml:space="preserve"> [</w:t>
      </w:r>
      <w:r>
        <w:rPr>
          <w:strike/>
        </w:rPr>
        <w:t xml:space="preserve">before the first anniversary of</w:t>
      </w:r>
      <w:r>
        <w:t xml:space="preserve">] the date that the person is appointed shall be removed from the position.  A temporary appointment may not be renewed[</w:t>
      </w:r>
      <w:r>
        <w:rPr>
          <w:strike/>
        </w:rPr>
        <w:t xml:space="preserve">, except that not earlier than the first anniversary of the date that a person is removed under this subsection, the sheriff may petition the commission for reinstatement of the person to a temporary appointment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appointed as a temporary county jailer on or after the effective date of this Act.  A person appointed as a temporary county jailer before the effective date of this Act is governed by the law in effect on the date the person was appointed,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