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86R7901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2470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action for the damage to property value caused by the use of an easement.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Property Code, is amended by adding Chapter 31 to read as follows:</w:t>
      </w:r>
    </w:p>
    <w:p w:rsidR="003F3435" w:rsidRDefault="0032493E">
      <w:pPr>
        <w:spacing w:line="480" w:lineRule="auto"/>
        <w:jc w:val="center"/>
      </w:pPr>
      <w:r>
        <w:rPr>
          <w:u w:val="single"/>
        </w:rPr>
        <w:t xml:space="preserve">CHAPTER 31. </w:t>
      </w:r>
      <w:r>
        <w:rPr>
          <w:u w:val="single"/>
        </w:rPr>
        <w:t xml:space="preserve"> </w:t>
      </w:r>
      <w:r>
        <w:rPr>
          <w:u w:val="single"/>
        </w:rPr>
        <w:t xml:space="preserve">DAMAGE TO PROPERTY VALUE CAUSED BY USE OF EASEMENT</w:t>
      </w:r>
    </w:p>
    <w:p w:rsidR="003F3435" w:rsidRDefault="0032493E">
      <w:pPr>
        <w:spacing w:line="480" w:lineRule="auto"/>
        <w:jc w:val="center"/>
      </w:pPr>
      <w:r>
        <w:rPr>
          <w:u w:val="single"/>
        </w:rPr>
        <w:t xml:space="preserve">SUBCHAPTER A.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31.001.</w:t>
      </w:r>
      <w:r>
        <w:rPr>
          <w:u w:val="single"/>
        </w:rPr>
        <w:t xml:space="preserve"> </w:t>
      </w:r>
      <w:r>
        <w:rPr>
          <w:u w:val="single"/>
        </w:rPr>
        <w:t xml:space="preserve"> </w:t>
      </w:r>
      <w:r>
        <w:rPr>
          <w:u w:val="single"/>
        </w:rPr>
        <w:t xml:space="preserve">ACTION FOR DAMAGE TO PROPERTY VALUE.  A person who owns real property located near an easement may bring an action under this chapter to recover damages against the holder of the easement if the holder of the easement uses the easement in a manner that causes damage to the value of the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w:t>
      </w:r>
      <w:r>
        <w:rPr>
          <w:u w:val="single"/>
        </w:rPr>
        <w:t xml:space="preserve"> </w:t>
      </w:r>
      <w:r>
        <w:rPr>
          <w:u w:val="single"/>
        </w:rPr>
        <w:t xml:space="preserve"> </w:t>
      </w:r>
      <w:r>
        <w:rPr>
          <w:u w:val="single"/>
        </w:rPr>
        <w:t xml:space="preserve">CONCURRENT JURISDICTION.  District courts and county courts at law have concurrent jurisdiction for an action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31.003.</w:t>
      </w:r>
      <w:r>
        <w:rPr>
          <w:u w:val="single"/>
        </w:rPr>
        <w:t xml:space="preserve"> </w:t>
      </w:r>
      <w:r>
        <w:rPr>
          <w:u w:val="single"/>
        </w:rPr>
        <w:t xml:space="preserve"> </w:t>
      </w:r>
      <w:r>
        <w:rPr>
          <w:u w:val="single"/>
        </w:rPr>
        <w:t xml:space="preserve">STANDING.  Standing to bring an action under this chapter is based on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plaintiff was the owner of the real property when the damage to the value of the plaintiff's property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 is the current owner of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alleged damage to the property value is more than $10,000.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31.004.</w:t>
      </w:r>
      <w:r>
        <w:rPr>
          <w:u w:val="single"/>
        </w:rPr>
        <w:t xml:space="preserve"> </w:t>
      </w:r>
      <w:r>
        <w:rPr>
          <w:u w:val="single"/>
        </w:rPr>
        <w:t xml:space="preserve"> </w:t>
      </w:r>
      <w:r>
        <w:rPr>
          <w:u w:val="single"/>
        </w:rPr>
        <w:t xml:space="preserve">LIMITATIONS PERIOD.  A person must bring suit for damages under this chapter not later than two years after the day the cause of action accrues.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31.005.</w:t>
      </w:r>
      <w:r>
        <w:rPr>
          <w:u w:val="single"/>
        </w:rPr>
        <w:t xml:space="preserve"> </w:t>
      </w:r>
      <w:r>
        <w:rPr>
          <w:u w:val="single"/>
        </w:rPr>
        <w:t xml:space="preserve"> </w:t>
      </w:r>
      <w:r>
        <w:rPr>
          <w:u w:val="single"/>
        </w:rPr>
        <w:t xml:space="preserve">VENUE.  The petition must be filed in the county in which the property is primarily located.</w:t>
      </w:r>
    </w:p>
    <w:p w:rsidR="003F3435" w:rsidRDefault="0032493E">
      <w:pPr>
        <w:spacing w:line="480" w:lineRule="auto"/>
        <w:jc w:val="center"/>
      </w:pPr>
      <w:r>
        <w:rPr>
          <w:u w:val="single"/>
        </w:rPr>
        <w:t xml:space="preserve">SUBCHAPTER B.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31.011.</w:t>
      </w:r>
      <w:r>
        <w:rPr>
          <w:u w:val="single"/>
        </w:rPr>
        <w:t xml:space="preserve"> </w:t>
      </w:r>
      <w:r>
        <w:rPr>
          <w:u w:val="single"/>
        </w:rPr>
        <w:t xml:space="preserve"> </w:t>
      </w:r>
      <w:r>
        <w:rPr>
          <w:u w:val="single"/>
        </w:rPr>
        <w:t xml:space="preserve">CONTENTS OF PETITION.  The petition for a cause of action under this chapter must contain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current address of the plaintiff;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of the affected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use of the easement causing   the alleged damage to the affected property's value;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damage occurred;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current address of the defendant responsible for the alleged damage to the property's value;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amount requested for the alleged damage to the property's value.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31.012.</w:t>
      </w:r>
      <w:r>
        <w:rPr>
          <w:u w:val="single"/>
        </w:rPr>
        <w:t xml:space="preserve"> </w:t>
      </w:r>
      <w:r>
        <w:rPr>
          <w:u w:val="single"/>
        </w:rPr>
        <w:t xml:space="preserve"> </w:t>
      </w:r>
      <w:r>
        <w:rPr>
          <w:u w:val="single"/>
        </w:rPr>
        <w:t xml:space="preserve">APPOINTMENT OF SPECIAL COMMISSIONERS.  (a)  The court in which a petition is filed under this chapter shall appoint three disinterested real property owners who reside in the county as special commissioners to determine the amount of damage to the property's value caused by the defendant's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give preference to persons agreed on by the parties.  The court shall provide each party a reasonable period to strike one of the three commissioners appointed by the court.  If a person fails to serve as a commissioner or is struck by a party to the suit, the court shall appoint a replacement.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31.013.</w:t>
      </w:r>
      <w:r>
        <w:rPr>
          <w:u w:val="single"/>
        </w:rPr>
        <w:t xml:space="preserve"> </w:t>
      </w:r>
      <w:r>
        <w:rPr>
          <w:u w:val="single"/>
        </w:rPr>
        <w:t xml:space="preserve"> </w:t>
      </w:r>
      <w:r>
        <w:rPr>
          <w:u w:val="single"/>
        </w:rPr>
        <w:t xml:space="preserve">POWERS AND DUTIES OF SPECIAL COMMISSIONERS.  (a)  The special commissioners shall swear to determine the recommended amount of damages to be awarded fairly, impartially, and according to the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special commissioners may compel the attendance of witnesses and the production of testimony, administer oaths, and punish for contempt in the same manner as a county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31.014.</w:t>
      </w:r>
      <w:r>
        <w:rPr>
          <w:u w:val="single"/>
        </w:rPr>
        <w:t xml:space="preserve"> </w:t>
      </w:r>
      <w:r>
        <w:rPr>
          <w:u w:val="single"/>
        </w:rPr>
        <w:t xml:space="preserve"> </w:t>
      </w:r>
      <w:r>
        <w:rPr>
          <w:u w:val="single"/>
        </w:rPr>
        <w:t xml:space="preserve">HEARING.  (a)  The special commissioners shall promptly schedule a hearing for the parties at the earliest practical time but may not schedule a hearing to determine the amount of damages before the 20th day after the date the special commissioners were appointed.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special commissioners shall schedule the hearing at a place that is as near as practical to the affected property or at the county seat of the county in which the property is primarily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of the hearing has been served, the special commissioners shall hear the parties at the scheduled time and place or at any other time or place to which the special commissioners may adjourn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31.015.</w:t>
      </w:r>
      <w:r>
        <w:rPr>
          <w:u w:val="single"/>
        </w:rPr>
        <w:t xml:space="preserve"> </w:t>
      </w:r>
      <w:r>
        <w:rPr>
          <w:u w:val="single"/>
        </w:rPr>
        <w:t xml:space="preserve"> </w:t>
      </w:r>
      <w:r>
        <w:rPr>
          <w:u w:val="single"/>
        </w:rPr>
        <w:t xml:space="preserve">FINDINGS REGARDING DAMAGES.  The special commissioners shall file a signed and dated written statement of the special commissioners' findings regarding the recommended amount of damages and all other papers connected with the proceeding with the court on the date the findings are made or   on the next working day after the date the findings are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31.016.</w:t>
      </w:r>
      <w:r>
        <w:rPr>
          <w:u w:val="single"/>
        </w:rPr>
        <w:t xml:space="preserve"> </w:t>
      </w:r>
      <w:r>
        <w:rPr>
          <w:u w:val="single"/>
        </w:rPr>
        <w:t xml:space="preserve"> </w:t>
      </w:r>
      <w:r>
        <w:rPr>
          <w:u w:val="single"/>
        </w:rPr>
        <w:t xml:space="preserve">OBJECTIONS TO COMMISSIONERS' FINDINGS.  (a)  A party to the proceeding may object to the findings of the special commissioners by filing a written statement of the objections and the grounds for the objections with the court that has jurisdiction of the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statement must be filed on or before the first Monday after the 20th day after the date the special commissioners file the findings with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31.017.</w:t>
      </w:r>
      <w:r>
        <w:rPr>
          <w:u w:val="single"/>
        </w:rPr>
        <w:t xml:space="preserve"> </w:t>
      </w:r>
      <w:r>
        <w:rPr>
          <w:u w:val="single"/>
        </w:rPr>
        <w:t xml:space="preserve"> </w:t>
      </w:r>
      <w:r>
        <w:rPr>
          <w:u w:val="single"/>
        </w:rPr>
        <w:t xml:space="preserve">PROPERTY VALUE DAMAGE AWARD.  (a)  The court shall make the final determination of whether damages are awarded and the amount of damages to be awarded by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special commissioners' findings and recommended award;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objections to the findings filed under Section 31.016;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relevant evidence entered with the court concerning the property or the use of the easement.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31.018.</w:t>
      </w:r>
      <w:r>
        <w:rPr>
          <w:u w:val="single"/>
        </w:rPr>
        <w:t xml:space="preserve"> </w:t>
      </w:r>
      <w:r>
        <w:rPr>
          <w:u w:val="single"/>
        </w:rPr>
        <w:t xml:space="preserve"> </w:t>
      </w:r>
      <w:r>
        <w:rPr>
          <w:u w:val="single"/>
        </w:rPr>
        <w:t xml:space="preserve">PAYMENT OF AWARD.  (a) The court shall order any damages awarded to the plaintiff to be paid not later than the 20th day after the date the court enters a final judgment.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defendant, the court may extend the time for payment under this section by not more than 90 days if the defendant proves to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inability to pay the damages;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legitimate circumstance relevant to the ability to pay the damages.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Property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