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86R9169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2474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of medical assistance for certain individuals.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32.0256(a),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A recipient described by Section 32.025(a) who experiences a temporary increase in income of a duration of one month or less</w:t>
      </w:r>
      <w:r>
        <w:rPr>
          <w:u w:val="single"/>
        </w:rPr>
        <w:t xml:space="preserve">, or who commits a minor technical or clerical error on a renewal application or other document required for benefits renewal,</w:t>
      </w:r>
      <w:r>
        <w:t xml:space="preserve"> that would </w:t>
      </w:r>
      <w:r>
        <w:rPr>
          <w:u w:val="single"/>
        </w:rPr>
        <w:t xml:space="preserve">normally</w:t>
      </w:r>
      <w:r>
        <w:t xml:space="preserve"> result in the recipient being ineligible for medical assistance continues to be eligible for that assistance if the individual:</w:t>
      </w:r>
    </w:p>
    <w:p w:rsidR="003F3435" w:rsidRDefault="0032493E">
      <w:pPr>
        <w:spacing w:line="480" w:lineRule="auto"/>
        <w:ind w:firstLine="1440"/>
        <w:jc w:val="both"/>
      </w:pPr>
      <w:r>
        <w:t xml:space="preserve">(1)</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receives services through a program for individuals with an intellectual or developmental disability authorized under Section 1915(c), Social Security Act (42 U.S.C. Section 1396n(c)); or</w:t>
      </w:r>
    </w:p>
    <w:p w:rsidR="003F3435" w:rsidRDefault="0032493E">
      <w:pPr>
        <w:spacing w:line="480" w:lineRule="auto"/>
        <w:ind w:firstLine="2160"/>
        <w:jc w:val="both"/>
      </w:pPr>
      <w:r>
        <w:t xml:space="preserve">(B)</w:t>
      </w:r>
      <w:r xml:space="preserve">
        <w:t> </w:t>
      </w:r>
      <w:r xml:space="preserve">
        <w:t> </w:t>
      </w:r>
      <w:r>
        <w:t xml:space="preserve">resides in an ICF-IID facility; and</w:t>
      </w:r>
    </w:p>
    <w:p w:rsidR="003F3435" w:rsidRDefault="0032493E">
      <w:pPr>
        <w:spacing w:line="480" w:lineRule="auto"/>
        <w:ind w:firstLine="1440"/>
        <w:jc w:val="both"/>
      </w:pPr>
      <w:r>
        <w:t xml:space="preserve">(2)</w:t>
      </w:r>
      <w:r xml:space="preserve">
        <w:t> </w:t>
      </w:r>
      <w:r xml:space="preserve">
        <w:t> </w:t>
      </w:r>
      <w:r>
        <w:t xml:space="preserve">continues to meet the functional and diagnostic criteria for the receipt of services under a program described by Subdivision (1)(A) or for residency in an ICF-IID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