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86R24097 LHC-D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2481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2481: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2481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a veterans treatment court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124.003(b),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veterans treatment court program established under this chapter shall make, establish, and publish local procedures to ensure maximum participation of eligible defendants in the </w:t>
      </w:r>
      <w:r>
        <w:rPr>
          <w:u w:val="single"/>
        </w:rPr>
        <w:t xml:space="preserve">program</w:t>
      </w:r>
      <w:r>
        <w:t xml:space="preserve"> </w:t>
      </w:r>
      <w:r>
        <w:t xml:space="preserve">[</w:t>
      </w:r>
      <w:r>
        <w:rPr>
          <w:strike/>
        </w:rPr>
        <w:t xml:space="preserve">county or counties in which those defendants reside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124.006(a)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veterans treatment court program that accepts placement of a defendant may transfer responsibility for supervising the defendant's participation in the program to another veterans treatment court program that is located in the county where the defendant works or resides </w:t>
      </w:r>
      <w:r>
        <w:rPr>
          <w:u w:val="single"/>
        </w:rPr>
        <w:t xml:space="preserve">or in a county adjacent to the county where the defendant works or resides</w:t>
      </w:r>
      <w:r>
        <w:t xml:space="preserve">. </w:t>
      </w:r>
      <w:r>
        <w:t xml:space="preserve"> </w:t>
      </w:r>
      <w:r>
        <w:t xml:space="preserve">The defendant's supervision may be transferred under this section only with the consent of both veterans treatment court programs and the defendant.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If a defendant is charged with an offense in a county that does not operate a veterans treatment court program, the court in which the criminal case is pending may place the defendant in a veterans treatment court program located in the county where the defendant works or resides </w:t>
      </w:r>
      <w:r>
        <w:rPr>
          <w:u w:val="single"/>
        </w:rPr>
        <w:t xml:space="preserve">or in a county adjacent to the county where the defendant works or resides</w:t>
      </w:r>
      <w:r>
        <w:t xml:space="preserve">, provided that a program is operated in that county and the defendant agrees to the placement. </w:t>
      </w:r>
      <w:r>
        <w:t xml:space="preserve"> </w:t>
      </w:r>
      <w:r>
        <w:t xml:space="preserve">A defendant placed in a veterans treatment court program in accordance with this subsection must agree to abide by all rules, requirements, and instructions of the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2481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