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pharmacy licensure requirements for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t xml:space="preserve">is given under oath;</w:t>
      </w:r>
    </w:p>
    <w:p w:rsidR="003F3435" w:rsidRDefault="0032493E">
      <w:pPr>
        <w:spacing w:line="480" w:lineRule="auto"/>
        <w:ind w:firstLine="2160"/>
        <w:jc w:val="both"/>
      </w:pPr>
      <w:r>
        <w:t xml:space="preserve">(C)</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t xml:space="preserve">(D)</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not a pharmacy operated by a publicly traded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disclosing: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pharmacy's financial investors as  provided by Section 560.0521;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criminal history record information of each individual owner and financial investor of the pharmacy, or of each individual managing officer of the pharmacy if the  pharmacy is a partnership or closely held corporation, accompanied by a complete and legible set of fingerprints of each individual  owner, financial investor, and managing officer, as applicable; 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Sections 560.0521 and 560.0522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FINANCIAL INVESTOR DISCLOSURE STATEMENT.  (a) </w:t>
      </w:r>
      <w:r>
        <w:rPr>
          <w:u w:val="single"/>
        </w:rPr>
        <w:t xml:space="preserve"> </w:t>
      </w:r>
      <w:r>
        <w:rPr>
          <w:u w:val="single"/>
        </w:rPr>
        <w:t xml:space="preserve">A disclosure statement of financial investors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person who is financially invested in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financial investment made  by each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source of the financial investment as required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of the source of a financial investment required by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source is money from a checking or savings account at a financial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financial institution;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account number from which the financial investment was obtained or in which the financial investment is maintained;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source is from the sale of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type of property sold;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property sold is real property: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property's address;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buyer's name and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sale;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amount of the net proceeds from the sale of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source is from a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loan was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and terms of the loan;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collateral securing the loan,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address of the lender;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the loan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source is from an inheritance or gift: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inheritance or gift;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donor's name, address, and relation to the investor,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any other source not specified by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disclose criminal history record information in the manner required by Section 560.052(b)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an application for a pharmacy license or a renewal that is submitted or a change of ownership by a pharmacy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