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disclosures and prohibited practices of certain employee benefit plans and health insurance policies that provide benefits for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1451.205, Insurance Code, is amended to read as follows:</w:t>
      </w:r>
    </w:p>
    <w:p w:rsidR="003F3435" w:rsidRDefault="0032493E">
      <w:pPr>
        <w:spacing w:line="480" w:lineRule="auto"/>
        <w:ind w:firstLine="720"/>
        <w:jc w:val="both"/>
      </w:pPr>
      <w:r>
        <w:t xml:space="preserve">Sec.</w:t>
      </w:r>
      <w:r xml:space="preserve">
        <w:t> </w:t>
      </w:r>
      <w:r>
        <w:t xml:space="preserve">1451.205.</w:t>
      </w:r>
      <w:r xml:space="preserve">
        <w:t> </w:t>
      </w:r>
      <w:r xml:space="preserve">
        <w:t> </w:t>
      </w:r>
      <w:r>
        <w:t xml:space="preserve">DISCLOSURE OF BENEFIT TERMS.  </w:t>
      </w:r>
      <w:r>
        <w:rPr>
          <w:u w:val="single"/>
        </w:rPr>
        <w:t xml:space="preserve">(a)</w:t>
      </w:r>
      <w:r>
        <w:t xml:space="preserve">  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 provider or issuer shall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Access to the Internet website must be at no charge to patients under the plan or policy and dentists providing dental care services to the patients.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benefit plan or health insurance policy provider or issuer is not required to comply with Subsection (b) or (c) for a plan or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for payment of the benefit for dental care services under the plan or policy: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an indemnity benefit based on a fixed schedule, regardless of the cost of the dental care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cash-payment-only basis;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directly to the beneficiary of the plan or policy or to the beneficiary's assigns;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regardless of other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provide for a copayment, a deductible, a network, or contracting provider dentists.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1451.206(a),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employee benefit plan or health insurance policy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payment or reimbursement for a noncontracting provider dentist shall be the same as payment or reimbursement for a contracting provider dentist;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that the party to or beneficiary of the plan or policy may assign the right to payment or reimbursement to the dentist who provides the dental care services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on the Internet website required under Section 1451.205 and on request of a dentist or a party to or beneficiary of the plan or policy the fees, if any, associated with the methods of payment or reimbursement available under the plan or policy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1451.207(a)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deduct the amount of an overpayment of a claim from a payment or reimbursement for a dental care service provided by a dentist who did not receive the overpayment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  </w:t>
      </w:r>
      <w:r>
        <w:rPr>
          <w:u w:val="single"/>
        </w:rPr>
        <w:t xml:space="preserve">In this subsection, "predetermination" means an estimate by the patient's employee benefit plan or health insurance policy provider or issuer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eligibility under the plan or policy for benefits or covered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patient's deductible, copayment, or coinsurance related to benefits or covered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benefit limits for benefits or covered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1451, Insurance Code, is amended by adding Section 1451.208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1451.208.</w:t>
      </w:r>
      <w:r>
        <w:rPr>
          <w:u w:val="single"/>
        </w:rPr>
        <w:t xml:space="preserve"> </w:t>
      </w:r>
      <w:r>
        <w:rPr>
          <w:u w:val="single"/>
        </w:rPr>
        <w:t xml:space="preserve"> </w:t>
      </w:r>
      <w:r>
        <w:rPr>
          <w:u w:val="single"/>
        </w:rPr>
        <w:t xml:space="preserve">PRIOR AUTHORIZATION OF DENTAL CARE SERVICES.  (a)  For purposes of this section, "prior authorization" means a written and verifiable determination that one or more specific dental care services are covered under the patient's employee benefit plan or health insurance policy and are payable and reimbursable in a specific stated amount, subject to applicable coinsurance and deductible amounts.  The term: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preauthorization or similar authorization;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 predetermination as defined by Section 1451.207(c).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services for which a prior authorization is required, on request of a patient or treating dentist, an employee benefit plan or health insurance policy provider or issuer shall provide to the dentist a written prior authorization of benefits for a dental care service for the patient.  The prior authorization must include a specific benefit payment or reimbursement amount.  Except as provided by Subsection (c), the plan or policy provider or issuer may not pay or reimburse the dentist in an amount that is less than the amount stated in the prior authorization.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w:t>
      </w:r>
      <w:r>
        <w:rPr>
          <w:u w:val="single"/>
        </w:rPr>
        <w:t xml:space="preserve"> </w:t>
      </w:r>
      <w:r>
        <w:rPr>
          <w:u w:val="single"/>
        </w:rPr>
        <w:t xml:space="preserve">provider or issuer that preauthorizes a dental care service under Subsection (b) may deny a claim for the dental care service or reduce payment or reimbursement to the dentist for the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for the claim fails to reasonably support the claim as preauthorized;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payor other than the employee benefit plan or health insurance policy provider or issuer is responsible for payment of the claim;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dentist received full payment for the preauthorized dental care service on which the claim is based;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claim is fraudulent;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prior authorization was based wholly or partly on a material error in information provided to the employee benefit plan or health insurance policy provider or issuer by any person not related to the provider or issuer;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employee benefit plan or health insurance policy that provides benefits for dental care services that is delivered, issued for delivery, renewed, or contracted for on or after the effective date of this Act.  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2486 was passed by the House on April 25, 2019, by the following vote:</w:t>
      </w:r>
      <w:r xml:space="preserve">
        <w:t> </w:t>
      </w:r>
      <w:r xml:space="preserve">
        <w:t> </w:t>
      </w:r>
      <w:r>
        <w:t xml:space="preserve">Yeas 129, Nays 7, 1 present, not voting; and that the House concurred in Senate amendments to H.B. No. 2486 on May 24,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2486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