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86R12647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laws to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12.1058(c),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(a) or (b), an open-enrollment charter school operated by a tax exempt entity as described by Section 12.101(a)(3) is not considered to be a political subdivision, local government, or local governmental entity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applicable statute specifically states that the statute applies to an open-enrollment charter school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in this chapter states that a specific statute applies to an open-enrollment charter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617, Government Code, is amended by adding Section 617.0025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617.0025.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 TO OPEN-ENROLLMENT CHARTER SCHOOL.  (a)  An open-enrollment charter school established under Subchapter D, Chapter 12, Education Code, is  a political subdivision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governing body of a charter holder, a member of the governing body of an open-enrollment charter school, and an officer of an open-enrollment charter school are considered to be officials of a political subdivision and an employee of an open-enrollment charter school is considered to be a public employee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With respect to Section 617.0025, Government Code, as added by this Act, if an open-enrollment charter school entered into a collective bargaining contract with a labor organization before the effective date of this Act, Chapter 617, Government Code, does not apply during the term of that contract.  A collective bargaining contract entered into before the effective date of this Act 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