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86R12645 CAE-D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certain open-enrollment charter schools to comply with historically underutilized business provisions.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12.1058, Education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open-enrollment charter school has 5,000 or more students in average daily attendance as determined under Section 42.005, the school is considered to be a state agency for purposes of Chapter 2161,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