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86R8060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2494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applicable to affordable housing located in a reinvestment zone in certain areas of the state;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311.003,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adopting an ordinance designating a reinvestment zone described by Section 311.0112, a municipality must prepare or have prepared an affordable housing impact statement.  The statement must be made available to the public and posted on the municipality's Internet website at least 60 days before the municipality holds the hearing required under Subsection (c).  The statement must include estimates of the impact on the availability of affordable housing in the area of the proposed zone for the 30-year period following designation of the proposed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311.006(e),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(a)(1) does not apply to a reinvestment zone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designated under Section 311.005(a)(4)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311.0112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311, Tax Code, is amended by adding Section 311.0112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311.0112.</w:t>
      </w:r>
      <w:r>
        <w:rPr>
          <w:u w:val="single"/>
        </w:rPr>
        <w:t xml:space="preserve"> </w:t>
      </w:r>
      <w:r>
        <w:rPr>
          <w:u w:val="single"/>
        </w:rPr>
        <w:t xml:space="preserve"> </w:t>
      </w:r>
      <w:r>
        <w:rPr>
          <w:u w:val="single"/>
        </w:rPr>
        <w:t xml:space="preserve">PROVISIONS APPLICABLE IN CERTAIN ZONES.  (a)  This section applies only to a reinvestment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by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 population of 1.18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located predominantly in a county that has a total area of less than 1,000 square miles;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which is located in an area composed of census tracts forming a spatially compact area contiguous to a central business district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75,000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median family income that is less than $30,000 according to the last decennial census;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overall poverty rate that is at least two times the poverty rate for the entire municipality that designated the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area adjacent to a reinvestment zone means any area within two miles of the zone's boundaries in any direction that is not located within the boundaries of another reinvestment zone.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20 percent of the revenue from the tax increment fund of the reinvestment zone spent annually must be for the development, construction, and preservation of affordable housing in the zone and in the area adjacent to the zone.  Of that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75 percent must be spent to benefit families that have a yearly income at or below 60 percent of the area median family income, adjusted for family size;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10 percent may be used to pay administrative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if the use of the revenue in the tax increment fund in the manner required by that subsection would materially impair the security for bonds or notes issued under Section 311.015 before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project or reinvestment zone financing plan for a reinvestment zone that is approved or amended on or after September 1, 2019, must require the developer of a residential housing development located in the zone and funded wholly or partly with money from the tax increment fund for the zone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(f), set aside at least 20 percent of the planned dwelling units in each residential housing development as affordable housing with an affordability period of at least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contract with the municipality that designated the zone to pay the costs of relocating residents of the zone and the area adjacent to the zone who are displaced as a direct result of the residential housing development.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an alternative to the set-aside requirement under Subsection (e)(1), the municipality that designated the reinvestment zone may allow a developer to pay a fee to the municipality.  The amount of the fee is determined by the municipality.  The municipality shall deposit the fee in an affordable housing fund administered by the governing body of the municipality.  Money in 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subsidize the cost to the municipality of tax abatement agreements entered into under Section 311.0125 with the owners of real property located in the zone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real property subject to the tax abatement agreement is the owner's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at the time the tax abatement agreement is entered into,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resided in the zone for 10 or more years;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yearly income at or below 60 percent of the median family income in the zone, adjusted for family size;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a qualified for-profit entity or a nonprofit entity for the purpose of developing, constructing, or preserving affordable housing in the zone and in the area adjacent to the zone for families that have a yearly income at or below 60 percent of the area median family income, adjusted for family size.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311.0125(b) does not apply to a tax abatement agreement described by Subsection (f)(1).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project or reinvestment zone financing plan for a reinvestment zone that is approved or amended on or after September 1, 2019, shall provide that when money is spent from the tax increment fund for the zone for the purpose of making infrastructure improvements in the zone, a proportionate amount of money in the fund equal to not more than 20 percent of that amount must be spent from the fund to provide necessary infrastructure improvements in the area adjacent to the zone.  The plan shall provide that the governing body of the municipality that designated the zone determines: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proportionate amount to be spent in the area adjacent to the zone, subject to the limitation provided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infrastructure improvements that are necessary in the area adjacent to the zone.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1.04(7), in determining the market value of a residence homestead that is more than 30 years old and located in a reinvestment zone or in the area adjacent to the zone, the chief appraiser for the appraisal district in which the property is located may exclude from consideration the value of new or substantially remodeled residential properties that are located in the same neighborhood as the residence homestead being appraised and that would otherwise be considered in appraising the residence homestead.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municipality that designated the reinvestment zone has adopted minimum habitability standards for residential housing units in the municipality, the municipality shall develop and adopt a plan to provide for the relocation of tenants displaced as a result of the enforcement of those standards.  The plan must provide that the municipality may use any penalties received from the owner of the housing unit from which tenants were displaced to pay the tenant's relocation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311.016,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under Subsection (a), the annual report for a reinvestment zone described by Section 311.0112 must include the following information, specific to each neighborhood located in the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expenditure from the tax increment fund established by the zone for affordable housing in the neighborhood;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each expenditure from the fund on the availability of affordable housing in the neighborhood;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any expenditure from the fund had a disparate impact on minority or low-income neighborhood residents.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