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 Cole, Gervin-Hawkins,</w:t>
      </w:r>
      <w:r xml:space="preserve">
        <w:tab wTab="150" tlc="none" cTlc="0"/>
      </w:r>
      <w:r>
        <w:t xml:space="preserve">H.B.</w:t>
      </w:r>
      <w:r xml:space="preserve">
        <w:t> </w:t>
      </w:r>
      <w:r>
        <w:t xml:space="preserve">No.</w:t>
      </w:r>
      <w:r xml:space="preserve">
        <w:t> </w:t>
      </w:r>
      <w:r>
        <w:t xml:space="preserve">2496</w:t>
      </w:r>
    </w:p>
    <w:p w:rsidR="003F3435" w:rsidRDefault="0032493E">
      <w:pPr>
        <w:jc w:val="both"/>
      </w:pPr>
      <w:r xml:space="preserve">
        <w:t> </w:t>
      </w:r>
      <w:r xml:space="preserve">
        <w:t> </w:t>
      </w:r>
      <w:r xml:space="preserve">
        <w:t> </w:t>
      </w:r>
      <w:r xml:space="preserve">
        <w:t> </w:t>
      </w:r>
      <w:r xml:space="preserve">
        <w:t> </w:t>
      </w:r>
      <w:r>
        <w:t xml:space="preserve">Johnson of Harris,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property as a historic landmark by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211, Local Government Code, is amended by adding Section 211.0165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211.0165.</w:t>
      </w:r>
      <w:r>
        <w:rPr>
          <w:u w:val="single"/>
        </w:rPr>
        <w:t xml:space="preserve"> </w:t>
      </w:r>
      <w:r>
        <w:rPr>
          <w:u w:val="single"/>
        </w:rPr>
        <w:t xml:space="preserve"> </w:t>
      </w:r>
      <w:r>
        <w:rPr>
          <w:u w:val="single"/>
        </w:rPr>
        <w:t xml:space="preserve">DESIGNATION OF HISTORIC LANDMARK.  (a)  Except as provided by Subsection (b), a municipality that has established a process for designating places or areas of historical, cultural, or architectural importance and significance through the adoption of zoning regulations or zoning district boundaries may not designate a property as a local historic landmark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of the property consents to the designation;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designation is approved by a three-fourths vote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governing body of the municipality;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zoning, planning, or historical commission of the municipality,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property is owned by an organization that qualifies as a religious organization under Section 11.20, Tax Code, the municipality may designate the property as a local historic landmark only if the organization consents to the designation.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municipality must provide the property owner a statement that describes the impact that a historic designation of the owner's property may have on the owner and the owner's property. The municipality must provide the statement to the owner not later than the 15th day before the date of the initial hearing on the historic designation of the property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zoning, planning, or historical commission, if any;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the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historic designation impact statement must include  lists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regulations that may be applied to any structure on the property after the designation;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procedures for the designation;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tax benefits that may be applied to the property after the designation;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rehabilitation or repair programs that the municipality offers for a property designated as historic.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municipality must allow an owner to withdraw consent at any time during the designation process.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211.0165, Local Government Code, as added by this Act, applies only to a designation of a property as a historic landmark made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