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86R22059 NC-F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Cyrier, Cole, Gervin-Hawkins,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2496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Johnson of Harris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2496: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2496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property as a historic landmark by a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211, Local Government Code, is amended by adding Section 211.0165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211.0165.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DESIGNATION OF HISTORIC LANDMARK.  (a)  A municipality that has established a process for designating places or areas of historical, cultural, or architectural importance and significance through the adoption of zoning regulations or zoning district boundaries may not designate a property as a local historic landmark unless: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the property consents to the designation;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designation is approved by a three-fourths vote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the municipality;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zoning, planning, or historical commission of the municipality, if any.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must allow an owner to withdraw consent at any time during the designation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211.0165, Local Government Code, as added by this Act, applies only to a designation of a property as a historic landmark made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2496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