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86R4657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2497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standing for an appeal to a municipal board of adjustment.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211.010(a),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any of the following persons may appeal to the board of adjustment a decision made by an administrative official:</w:t>
      </w:r>
    </w:p>
    <w:p w:rsidR="003F3435" w:rsidRDefault="0032493E">
      <w:pPr>
        <w:spacing w:line="480" w:lineRule="auto"/>
        <w:ind w:firstLine="1440"/>
        <w:jc w:val="both"/>
      </w:pPr>
      <w:r>
        <w:t xml:space="preserve">(1)</w:t>
      </w:r>
      <w:r xml:space="preserve">
        <w:t> </w:t>
      </w:r>
      <w:r xml:space="preserve">
        <w:t> </w:t>
      </w:r>
      <w:r>
        <w:t xml:space="preserve">a person </w:t>
      </w:r>
      <w:r>
        <w:rPr>
          <w:u w:val="single"/>
        </w:rPr>
        <w:t xml:space="preserve">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filed an application that is the subject of</w:t>
      </w:r>
      <w:r>
        <w:t xml:space="preserve"> </w:t>
      </w:r>
      <w:r>
        <w:t xml:space="preserve">[</w:t>
      </w:r>
      <w:r>
        <w:rPr>
          <w:strike/>
        </w:rPr>
        <w:t xml:space="preserve">aggrieved by</w:t>
      </w:r>
      <w:r>
        <w:t xml:space="preserve">] the decision;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the owner of property that is the subject of the decision; or</w:t>
      </w:r>
    </w:p>
    <w:p w:rsidR="003F3435" w:rsidRDefault="0032493E">
      <w:pPr>
        <w:spacing w:line="480" w:lineRule="auto"/>
        <w:ind w:firstLine="1440"/>
        <w:jc w:val="both"/>
      </w:pPr>
      <w:r>
        <w:t xml:space="preserve">(2)</w:t>
      </w:r>
      <w:r xml:space="preserve">
        <w:t> </w:t>
      </w:r>
      <w:r xml:space="preserve">
        <w:t> </w:t>
      </w:r>
      <w:r>
        <w:t xml:space="preserve">any officer, department, board, or bureau of the municipality affected by the decision.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211.010(a), Local Government Code, as amended by this Act, applies only to an appeal based on a decision made by an administrative official on or after the effective date of this Act.  An appeal based on a decision made by an administrative official before the effective date of this Act is governed by the law in effect on the date the decision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