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86R14526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2498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acting on an application for a permit for a surface coal mining and reclamation operation.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2003, Government Code, is amended by adding Section 2003.0465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2003.0465.</w:t>
      </w:r>
      <w:r>
        <w:rPr>
          <w:u w:val="single"/>
        </w:rPr>
        <w:t xml:space="preserve"> </w:t>
      </w:r>
      <w:r>
        <w:rPr>
          <w:u w:val="single"/>
        </w:rPr>
        <w:t xml:space="preserve"> </w:t>
      </w:r>
      <w:r>
        <w:rPr>
          <w:u w:val="single"/>
        </w:rPr>
        <w:t xml:space="preserve">HEARINGS FOR RAILROAD COMMISSION.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Railroad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w:t>
      </w:r>
      <w:r>
        <w:rPr>
          <w:u w:val="single"/>
        </w:rPr>
        <w:t xml:space="preserve"> </w:t>
      </w:r>
      <w:r>
        <w:rPr>
          <w:u w:val="single"/>
        </w:rPr>
        <w:t xml:space="preserve">means the Surface Mining and Reclamation Division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hearing conducted on behalf of the commission under Section 134.062, Natural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issue considered in a hearing referred by the commission must have been raised in a timely manner by an affected person in a comment submitted by that affected person in response to a permit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contested case hearing, the filing with the hearing examiner of the final technical assessment of the application, the application, the recommendation for the issuance of the permit by the division, and other sufficient supporting documentation in the administrative record of the permit application establishes a prima facie demonstration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meets all state and federal legal and technical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permit, if issued consistent with the application and the final technical assessment of the division, would be eligible for the required findings under Section 134.066, Natural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may rebut a demonstration under Subsection (d) by presenting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relates to an issue for which a hearing is conducted by the commission under Section 134.062, Natural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that one or more provisions proposed in the application violate a specifically applicable state or federal requirement.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party rebutting under Subsection (e) a demonstration made under Subsection (d) bears the burden of persuasion.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in accordance with Subsections (e) and (f) a party rebuts a demonstration made under Subsection (d), the applicant or the division may present additional evidence in rebuttal to support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134.062, Natural Resources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a contested case hearing held by or for the commission, "affected person," "person affected," or "person who may be affected" means a person who has a personal justiciable interest related to a legal right, duty, privilege, power, or economic interest affected by the contested case hearing. </w:t>
      </w:r>
      <w:r>
        <w:rPr>
          <w:u w:val="single"/>
        </w:rPr>
        <w:t xml:space="preserve"> </w:t>
      </w:r>
      <w:r>
        <w:rPr>
          <w:u w:val="single"/>
        </w:rPr>
        <w:t xml:space="preserve">An interest common to members of the public does not qualify as a personal justiciable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a person has a personal justiciable interest or whether an affected association is entitled to standing in a contested case hearing within the commission's jurisdiction,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merits of the underlying application, including whether the application meets the requirements for permit issuance;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likely effect of regulated activity on the health and safety of the hearing requestor, and the use of the hearing requestor's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administrative record, including the permit application and any supporting documentation;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analysis and opinions of the Surface Mining and Reclamation Division of the commission;</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whether the interest claimed is protected by the law governing the permit that is the subject of the application;</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whether a reasonable relationship exists between the interest claimed and the regulated activity;</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likely effect of the regulated activity on the use of the affected natural resource by the person;</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a governmental entity, the entity's statutory authority over issues relevant to the application; and</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other expert reports, affidavits, opinions, or information submitted on or before any applicable deadline to the commission by the executive director, the applicant, or a hearing requestor;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find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group or association is an affected person unless the group or association identifies, by name and physical address in a timely request for a contested case hearing, a member of the group or association who would be an affected person in the person's own right;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hearing requestor is an affected person unless the hearing requestor timely submitted comments on the permit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changes in law made by this Act apply only to:</w:t>
      </w:r>
    </w:p>
    <w:p w:rsidR="003F3435" w:rsidRDefault="0032493E">
      <w:pPr>
        <w:spacing w:line="480" w:lineRule="auto"/>
        <w:ind w:firstLine="1440"/>
        <w:jc w:val="both"/>
      </w:pPr>
      <w:r>
        <w:t xml:space="preserve">(1)</w:t>
      </w:r>
      <w:r xml:space="preserve">
        <w:t> </w:t>
      </w:r>
      <w:r xml:space="preserve">
        <w:t> </w:t>
      </w:r>
      <w:r>
        <w:t xml:space="preserve">a permit application that is filed with the Railroad Commission of Texas on or after the effective date of this Act; or</w:t>
      </w:r>
    </w:p>
    <w:p w:rsidR="003F3435" w:rsidRDefault="0032493E">
      <w:pPr>
        <w:spacing w:line="480" w:lineRule="auto"/>
        <w:ind w:firstLine="1440"/>
        <w:jc w:val="both"/>
      </w:pPr>
      <w:r>
        <w:t xml:space="preserve">(2)</w:t>
      </w:r>
      <w:r xml:space="preserve">
        <w:t> </w:t>
      </w:r>
      <w:r xml:space="preserve">
        <w:t> </w:t>
      </w:r>
      <w:r>
        <w:t xml:space="preserve">a judicial proceeding initiated on or after the effective date of this Act that challenges an act or decision of the Railroad Commission of Texas made during a permit proceeding.</w:t>
      </w:r>
    </w:p>
    <w:p w:rsidR="003F3435" w:rsidRDefault="0032493E">
      <w:pPr>
        <w:spacing w:line="480" w:lineRule="auto"/>
        <w:ind w:firstLine="720"/>
        <w:jc w:val="both"/>
      </w:pPr>
      <w:r>
        <w:t xml:space="preserve">(b)</w:t>
      </w:r>
      <w:r xml:space="preserve">
        <w:t> </w:t>
      </w:r>
      <w:r xml:space="preserve">
        <w:t> </w:t>
      </w:r>
      <w:r>
        <w:t xml:space="preserve">A permit application filed or a judicial proceeding initiated before the effective date of this Act is governed by the law in effect when the permit application was filed or the judicial proceeding was initiated,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