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H.B.</w:t>
      </w:r>
      <w:r xml:space="preserve">
        <w:t> </w:t>
      </w:r>
      <w:r>
        <w:t xml:space="preserve">No.</w:t>
      </w:r>
      <w:r xml:space="preserve">
        <w:t> </w:t>
      </w:r>
      <w:r>
        <w:t xml:space="preserve">2499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prosecution and punishment for the offense of official oppression by the intrusive touching of persons seeking access to public buildings and transportation; providing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39.03, Penal Code, is amended by amending Subsections (a) and (b) and adding Subsections (c-1), (c-2), and (c-3)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person who is a</w:t>
      </w:r>
      <w:r>
        <w:t xml:space="preserve"> public servant [</w:t>
      </w:r>
      <w:r>
        <w:rPr>
          <w:strike/>
        </w:rPr>
        <w:t xml:space="preserve">acting under color of his office or employment</w:t>
      </w:r>
      <w:r>
        <w:t xml:space="preserve">] commits an offense if </w:t>
      </w:r>
      <w:r>
        <w:rPr>
          <w:u w:val="single"/>
        </w:rPr>
        <w:t xml:space="preserve">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acting under color of the person's office or employment</w:t>
      </w:r>
      <w:r>
        <w:t xml:space="preserve"> [</w:t>
      </w:r>
      <w:r>
        <w:rPr>
          <w:strike/>
        </w:rPr>
        <w:t xml:space="preserve">he</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intentionally subjects another </w:t>
      </w:r>
      <w:r>
        <w:rPr>
          <w:u w:val="single"/>
        </w:rPr>
        <w:t xml:space="preserve">person</w:t>
      </w:r>
      <w:r>
        <w:t xml:space="preserve"> to mistreatment or to arrest, detention, search, seizure, dispossession, assessment, or lien that </w:t>
      </w:r>
      <w:r>
        <w:rPr>
          <w:u w:val="single"/>
        </w:rPr>
        <w:t xml:space="preserve">the actor</w:t>
      </w:r>
      <w:r>
        <w:t xml:space="preserve"> [</w:t>
      </w:r>
      <w:r>
        <w:rPr>
          <w:strike/>
        </w:rPr>
        <w:t xml:space="preserve">he</w:t>
      </w:r>
      <w:r>
        <w:t xml:space="preserve">] knows is unlawful;</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intentionally denies or impedes another </w:t>
      </w:r>
      <w:r>
        <w:rPr>
          <w:u w:val="single"/>
        </w:rPr>
        <w:t xml:space="preserve">person</w:t>
      </w:r>
      <w:r>
        <w:t xml:space="preserve"> in the exercise or enjoyment of any right, privilege, power, or immunity, knowing </w:t>
      </w:r>
      <w:r>
        <w:rPr>
          <w:u w:val="single"/>
        </w:rPr>
        <w:t xml:space="preserve">the actor's</w:t>
      </w:r>
      <w:r>
        <w:t xml:space="preserve"> [</w:t>
      </w:r>
      <w:r>
        <w:rPr>
          <w:strike/>
        </w:rPr>
        <w:t xml:space="preserve">his</w:t>
      </w:r>
      <w:r>
        <w:t xml:space="preserve">] conduct is unlawful;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intentionally subjects another </w:t>
      </w:r>
      <w:r>
        <w:rPr>
          <w:u w:val="single"/>
        </w:rPr>
        <w:t xml:space="preserve">person</w:t>
      </w:r>
      <w:r>
        <w:t xml:space="preserve"> to sexual harassment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while acting under color of the person's office or employment without probable cause to believe the other person committed an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performs a search without effective consent  for the purpose of granting access to a publicly accessible  building or form of transportation;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intentionally, knowingly, or recklessly: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touches the anus, sexual organ, buttocks,  or breast of the other person, including touching through clothing;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causes physical contact with the other person when the actor knows or should reasonably believe that the  other person will regard the contact as offensive or provocative</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w:t>
      </w:r>
      <w:r>
        <w:rPr>
          <w:u w:val="single"/>
        </w:rPr>
        <w:t xml:space="preserve">person who is a</w:t>
      </w:r>
      <w:r>
        <w:t xml:space="preserve"> public servant acts under color of </w:t>
      </w:r>
      <w:r>
        <w:rPr>
          <w:u w:val="single"/>
        </w:rPr>
        <w:t xml:space="preserve">the person's</w:t>
      </w:r>
      <w:r>
        <w:t xml:space="preserve"> [</w:t>
      </w:r>
      <w:r>
        <w:rPr>
          <w:strike/>
        </w:rPr>
        <w:t xml:space="preserve">his</w:t>
      </w:r>
      <w:r>
        <w:t xml:space="preserve">] office or employment if </w:t>
      </w:r>
      <w:r>
        <w:rPr>
          <w:u w:val="single"/>
        </w:rPr>
        <w:t xml:space="preserve">the person</w:t>
      </w:r>
      <w:r>
        <w:t xml:space="preserve"> [</w:t>
      </w:r>
      <w:r>
        <w:rPr>
          <w:strike/>
        </w:rPr>
        <w:t xml:space="preserve">he</w:t>
      </w:r>
      <w:r>
        <w:t xml:space="preserve">] acts or purports to act in an official capacity or takes advantage of such actual or purported capacity.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Subsection (a)(2), "public servant"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employee, or agent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branch, department, or agency of the United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another person acting under contract with a branch, department, or agency of the United States for the purpose  of providing a security or law enforcement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person acting under color of federal law.</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a person described by Subsection (c-1)(1) or (2), it is a defense to prosecution for an offense under Subsection (a)(2) that the actor performed the search pursuant to and consistent with an explicit and applicable grant of federal statutory authority that is consistent with the United States Constitution.</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For purposes of Subsection (a)(2), and notwithstanding Sections 1.07(a)(11) and (19), consent is effective only if, immediately before any search: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verbally describes: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area of the other person to be searched;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method to be used in the search;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receives express consent for the search only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other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parent or guardian of the other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This section applies only to a prosecution of an offense under Section 39.03(a)(2), Penal Code, as added by this Act, in which the defendant was, at the time of the alleged offense, acting under the color of federal law.</w:t>
      </w:r>
    </w:p>
    <w:p w:rsidR="003F3435" w:rsidRDefault="0032493E">
      <w:pPr>
        <w:spacing w:line="480" w:lineRule="auto"/>
        <w:ind w:firstLine="720"/>
        <w:jc w:val="both"/>
      </w:pPr>
      <w:r>
        <w:t xml:space="preserve">(b)</w:t>
      </w:r>
      <w:r xml:space="preserve">
        <w:t> </w:t>
      </w:r>
      <w:r xml:space="preserve">
        <w:t> </w:t>
      </w:r>
      <w:r>
        <w:t xml:space="preserve">In a prosecution described by Subsection (a) of this section, if the government of the United States, the defendant, or the defendant's employer challenges the validity of Section 39.03(a)(2), Penal Code, as added by this Act, on grounds of unconstitutionality, preemption, or sovereign immunity, the attorney general of this state, with the consent of the appropriate local county or district attorney, shall take any actions necessary on behalf of the state to defend the validity of the statute. </w:t>
      </w:r>
      <w:r>
        <w:t xml:space="preserve"> </w:t>
      </w:r>
      <w:r>
        <w:t xml:space="preserve">The attorney general may make any legal arguments the attorney general considers appropriate, including that this Act constitutes a valid exercise of:</w:t>
      </w:r>
    </w:p>
    <w:p w:rsidR="003F3435" w:rsidRDefault="0032493E">
      <w:pPr>
        <w:spacing w:line="480" w:lineRule="auto"/>
        <w:ind w:firstLine="1440"/>
        <w:jc w:val="both"/>
      </w:pPr>
      <w:r>
        <w:t xml:space="preserve">(1)</w:t>
      </w:r>
      <w:r xml:space="preserve">
        <w:t> </w:t>
      </w:r>
      <w:r xml:space="preserve">
        <w:t> </w:t>
      </w:r>
      <w:r>
        <w:t xml:space="preserve">the state's police powers;</w:t>
      </w:r>
    </w:p>
    <w:p w:rsidR="003F3435" w:rsidRDefault="0032493E">
      <w:pPr>
        <w:spacing w:line="480" w:lineRule="auto"/>
        <w:ind w:firstLine="1440"/>
        <w:jc w:val="both"/>
      </w:pPr>
      <w:r>
        <w:t xml:space="preserve">(2)</w:t>
      </w:r>
      <w:r xml:space="preserve">
        <w:t> </w:t>
      </w:r>
      <w:r xml:space="preserve">
        <w:t> </w:t>
      </w:r>
      <w:r>
        <w:t xml:space="preserve">the liberty interests of the people that are secured by the United States Constitution;</w:t>
      </w:r>
    </w:p>
    <w:p w:rsidR="003F3435" w:rsidRDefault="0032493E">
      <w:pPr>
        <w:spacing w:line="480" w:lineRule="auto"/>
        <w:ind w:firstLine="1440"/>
        <w:jc w:val="both"/>
      </w:pPr>
      <w:r>
        <w:t xml:space="preserve">(3)</w:t>
      </w:r>
      <w:r xml:space="preserve">
        <w:t> </w:t>
      </w:r>
      <w:r xml:space="preserve">
        <w:t> </w:t>
      </w:r>
      <w:r>
        <w:t xml:space="preserve">the powers reserved to the states by the Tenth Amendment to the United States Constitution; or</w:t>
      </w:r>
    </w:p>
    <w:p w:rsidR="003F3435" w:rsidRDefault="0032493E">
      <w:pPr>
        <w:spacing w:line="480" w:lineRule="auto"/>
        <w:ind w:firstLine="1440"/>
        <w:jc w:val="both"/>
      </w:pPr>
      <w:r>
        <w:t xml:space="preserve">(4)</w:t>
      </w:r>
      <w:r xml:space="preserve">
        <w:t> </w:t>
      </w:r>
      <w:r xml:space="preserve">
        <w:t> </w:t>
      </w:r>
      <w:r>
        <w:t xml:space="preserve">the rights and protections secured by the Texas Constitution.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shall be construed, as a matter of state law, to be enforceable up to but no further than the maximum possible extent consistent with federal constitutional requirements, even if that construction is not readily apparent, as such constructions are authorized only to the extent necessary to save the statute from judicial invalidation.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