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mandatory term of confinement for defendants placed on community supervision for the criminal offense of leaving the scene of a motor vehicle accident resulting in the death of a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42A, Code of Criminal Procedure, is amended by adding Article 42A.515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42A.515.</w:t>
      </w:r>
      <w:r>
        <w:rPr>
          <w:u w:val="single"/>
        </w:rPr>
        <w:t xml:space="preserve"> </w:t>
      </w:r>
      <w:r>
        <w:rPr>
          <w:u w:val="single"/>
        </w:rPr>
        <w:t xml:space="preserve"> </w:t>
      </w:r>
      <w:r>
        <w:rPr>
          <w:u w:val="single"/>
        </w:rPr>
        <w:t xml:space="preserve">COMMUNITY SUPERVISION FOR LEAVING SCENE OF MOTOR VEHICLE ACCIDENT RESULTING IN DEATH OF PERSON.  (a)</w:t>
      </w:r>
      <w:r>
        <w:rPr>
          <w:u w:val="single"/>
        </w:rPr>
        <w:t xml:space="preserve"> </w:t>
      </w:r>
      <w:r>
        <w:rPr>
          <w:u w:val="single"/>
        </w:rPr>
        <w:t xml:space="preserve"> </w:t>
      </w:r>
      <w:r>
        <w:rPr>
          <w:u w:val="single"/>
        </w:rPr>
        <w:t xml:space="preserve">A judge granting community supervision to a defendant convicted of an offense punishable under Section 550.021(c)(1)(A), Transportation Code, shall require as a condition of community supervision that the defendant submit to a term of confinement of not less than 120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sentence of confinement is imposed on the revocation of community supervision, the term of confinement served under Subsection (a) may not be credited toward completion of the sentence imposed.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2502 was passed by the House on April 24, 2019, by the following vote:</w:t>
      </w:r>
      <w:r xml:space="preserve">
        <w:t> </w:t>
      </w:r>
      <w:r xml:space="preserve">
        <w:t> </w:t>
      </w:r>
      <w:r>
        <w:t xml:space="preserve">Yeas 144,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2502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