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King of Hemphill, Guillen,</w:t>
      </w:r>
      <w:r xml:space="preserve">
        <w:tab wTab="150" tlc="none" cTlc="0"/>
      </w:r>
      <w:r>
        <w:t xml:space="preserve">H.B.</w:t>
      </w:r>
      <w:r xml:space="preserve">
        <w:t> </w:t>
      </w:r>
      <w:r>
        <w:t xml:space="preserve">No.</w:t>
      </w:r>
      <w:r xml:space="preserve">
        <w:t> </w:t>
      </w:r>
      <w:r>
        <w:t xml:space="preserve">2503</w:t>
      </w:r>
    </w:p>
    <w:p w:rsidR="003F3435" w:rsidRDefault="0032493E">
      <w:pPr>
        <w:jc w:val="both"/>
      </w:pPr>
      <w:r xml:space="preserve">
        <w:t> </w:t>
      </w:r>
      <w:r xml:space="preserve">
        <w:t> </w:t>
      </w:r>
      <w:r xml:space="preserve">
        <w:t> </w:t>
      </w:r>
      <w:r xml:space="preserve">
        <w:t> </w:t>
      </w:r>
      <w:r xml:space="preserve">
        <w:t> </w:t>
      </w:r>
      <w:r>
        <w:t xml:space="preserve">Raymond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workers' compensation death benefit eligibility for certain spouses of certain employees killed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408.183(b-1), Labor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eligible spouse who remarried is eligible for death benefits for life if the employee was a first responder, as defined by Section 504.055, </w:t>
      </w:r>
      <w:r>
        <w:rPr>
          <w:u w:val="single"/>
        </w:rPr>
        <w:t xml:space="preserve">or an individual described by Section 615.003(1), Government Code, or Section 501.001(5)(F),</w:t>
      </w:r>
      <w:r>
        <w:t xml:space="preserve"> </w:t>
      </w:r>
      <w:r>
        <w:t xml:space="preserve">who suffered death in the course and scope of employment or while providing services as a volunteer. </w:t>
      </w:r>
      <w:r>
        <w:t xml:space="preserve"> </w:t>
      </w:r>
      <w:r>
        <w:t xml:space="preserve">This subsection applies regardless of the date on which the death of the first responder </w:t>
      </w:r>
      <w:r>
        <w:rPr>
          <w:u w:val="single"/>
        </w:rPr>
        <w:t xml:space="preserve">or other individual</w:t>
      </w:r>
      <w:r>
        <w:t xml:space="preserve"> </w:t>
      </w:r>
      <w:r>
        <w:t xml:space="preserve">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408.183(b-1), Labor Code, applies only to an eligible spouse who remarries on or after the effective date of this Act.  An eligible spouse who remarried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