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86R22243 SRS-F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2504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2504: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2504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candidates to pay a filing fee or submit a petition in lieu of a filing fee to appear on the ballot for the general election for state and county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141, Election Code, is amended by adding Section 141.041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141.041.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FILING FEE OR PETITION TO APPEAR ON BALLOT FOR GENERAL ELECTION FOR STATE AND COUNTY OFFICERS.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any other requirements, to be eligible to be placed on the ballot for the general election for state and county officers, a candidate who is nominated by convention under Chapter 181 or 182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 a filing fee to the secretary of state for a statewide or district office or the county judge for a county or precinct office;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to the secretary of state for a statewide or district office or the county judge for a county or precinct office a petition in lieu of a filing fee that satisfies the requirements prescribed by Subsection (e) and Section 141.062.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the filing fee is the amount prescribed by Section 172.024 for a candidate for nomination for the same office in a general primary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filing fee received by the secretary of state shall be deposited in the state treasury to the credit of the general revenue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filing fee received by the county judge shall be deposited in the county treasury to the credit of the county general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minimum number of signatures that must appear on the petition authorized by Subsection (a) is the number prescribed by Section 172.025 to appear on a petition of a candidate for nomination for the same office in a general primary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2504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