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86R25239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2509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monitoring a state agency's compliance with the requirement to purchase certain goods and services from a community rehabilitation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122, Human Resources Code, is amended by adding Section 122.0096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122.0096.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PROCUREMENT MONITORING.  (a) </w:t>
      </w:r>
      <w:r>
        <w:rPr>
          <w:u w:val="single"/>
        </w:rPr>
        <w:t xml:space="preserve"> </w:t>
      </w:r>
      <w:r>
        <w:rPr>
          <w:u w:val="single"/>
        </w:rPr>
        <w:t xml:space="preserve">The workforce commission may monitor the procurement practices of a state agency to determine compliance with this chapter. </w:t>
      </w:r>
      <w:r>
        <w:rPr>
          <w:u w:val="single"/>
        </w:rPr>
        <w:t xml:space="preserve"> </w:t>
      </w:r>
      <w:r>
        <w:rPr>
          <w:u w:val="single"/>
        </w:rPr>
        <w:t xml:space="preserve">The workforce commission shall notify the state auditor's office if the workforce commission determines: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procured a product or service from a vendor other than a community rehabilitation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suitable product or service that met the state agency's specifications was available, within the time specified by the agency, from a community rehabilitation program on the date the procurement was made;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procurement of the product or service from a community rehabilitation program was not exempted: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Section 122.016;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because the product or service failed to meet a specification described by Section 2155.138(a)(3),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workforce commission may request that the state auditor's office conduct an audit of a state agency described by Subsection (a) to determine the agency's compliance with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2509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