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86R10395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2510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suspension and expulsion of a student attending an open-enrollment charter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12.131, Education Code, is amended to read as follows:</w:t>
      </w:r>
    </w:p>
    <w:p w:rsidR="003F3435" w:rsidRDefault="0032493E">
      <w:pPr>
        <w:spacing w:line="480" w:lineRule="auto"/>
        <w:ind w:firstLine="720"/>
        <w:jc w:val="both"/>
      </w:pPr>
      <w:r>
        <w:t xml:space="preserve">Sec.</w:t>
      </w:r>
      <w:r xml:space="preserve">
        <w:t> </w:t>
      </w:r>
      <w:r>
        <w:t xml:space="preserve">12.131.</w:t>
      </w:r>
      <w:r xml:space="preserve">
        <w:t> </w:t>
      </w:r>
      <w:r xml:space="preserve">
        <w:t> </w:t>
      </w:r>
      <w:r>
        <w:t xml:space="preserve">REMOVAL OF STUDENTS TO DISCIPLINARY ALTERNATIVE EDUCATION PROGRAM; </w:t>
      </w:r>
      <w:r>
        <w:rPr>
          <w:u w:val="single"/>
        </w:rPr>
        <w:t xml:space="preserve">SUSPENSION OR</w:t>
      </w:r>
      <w:r>
        <w:t xml:space="preserve"> EXPULSION OF STUDENTS.  (a) The governing body of an open-enrollment charter school shall adopt a code of conduct for its district or for each campus </w:t>
      </w:r>
      <w:r>
        <w:rPr>
          <w:u w:val="single"/>
        </w:rPr>
        <w:t xml:space="preserve">and post the code of conduct on the school's Internet website</w:t>
      </w:r>
      <w:r>
        <w:t xml:space="preserve">. In addition to establishing standards for behavior, the code of conduct shall outline generally the types of prohibited behaviors and their possible consequences. The code of conduct shall also outline the school's due process procedures with respect to </w:t>
      </w:r>
      <w:r>
        <w:rPr>
          <w:u w:val="single"/>
        </w:rPr>
        <w:t xml:space="preserve">suspension and</w:t>
      </w:r>
      <w:r>
        <w:t xml:space="preserve"> expulsion. </w:t>
      </w:r>
      <w:r>
        <w:rPr>
          <w:u w:val="single"/>
        </w:rPr>
        <w:t xml:space="preserve">The school's policies and procedures for suspension and expulsion must comply with any procedures or requirements in Subchapter A, Chapter 37, relating to a student's suspension or expulsion, including procedures relating to students enrolled in a special education program under Subchapter A, Chapter 29.</w:t>
      </w:r>
      <w:r>
        <w:t xml:space="preserve"> Notwithstanding any other provision of law, a final decision of the governing body of an open-enrollment charter school with respect to actions taken under the code of conduct may not be appealed.</w:t>
      </w:r>
    </w:p>
    <w:p w:rsidR="003F3435" w:rsidRDefault="0032493E">
      <w:pPr>
        <w:spacing w:line="480" w:lineRule="auto"/>
        <w:ind w:firstLine="720"/>
        <w:jc w:val="both"/>
      </w:pPr>
      <w:r>
        <w:t xml:space="preserve">(b)</w:t>
      </w:r>
      <w:r xml:space="preserve">
        <w:t> </w:t>
      </w:r>
      <w:r xml:space="preserve">
        <w:t> </w:t>
      </w:r>
      <w:r>
        <w:t xml:space="preserve">An open-enrollment charter school may</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only suspend a student for a reason and in the manner identified in the school's code of conduct;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only</w:t>
      </w:r>
      <w:r>
        <w:t xml:space="preserve"> </w:t>
      </w:r>
      <w:r>
        <w:t xml:space="preserve">[</w:t>
      </w:r>
      <w:r>
        <w:rPr>
          <w:strike/>
        </w:rPr>
        <w:t xml:space="preserve">not elect to</w:t>
      </w:r>
      <w:r>
        <w:t xml:space="preserve">] expel a student for a reason that is [</w:t>
      </w:r>
      <w:r>
        <w:rPr>
          <w:strike/>
        </w:rPr>
        <w:t xml:space="preserve">not</w:t>
      </w:r>
      <w:r>
        <w:t xml:space="preserve">] authorized by Section </w:t>
      </w:r>
      <w:r>
        <w:rPr>
          <w:u w:val="single"/>
        </w:rPr>
        <w:t xml:space="preserve">37.0052 or</w:t>
      </w:r>
      <w:r>
        <w:t xml:space="preserve"> 37.007 </w:t>
      </w:r>
      <w:r>
        <w:rPr>
          <w:u w:val="single"/>
        </w:rPr>
        <w:t xml:space="preserve">and in the manner identified in the school's code of conduct</w:t>
      </w:r>
      <w:r>
        <w:t xml:space="preserve"> [</w:t>
      </w:r>
      <w:r>
        <w:rPr>
          <w:strike/>
        </w:rPr>
        <w:t xml:space="preserve">or specified in the school's code of conduct as conduct that may result in expulsion</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Except as provided by this section and notwithstanding</w:t>
      </w:r>
      <w:r>
        <w:t xml:space="preserve"> </w:t>
      </w:r>
      <w:r>
        <w:t xml:space="preserve">[</w:t>
      </w:r>
      <w:r>
        <w:rPr>
          <w:strike/>
        </w:rPr>
        <w:t xml:space="preserve">Notwithstanding</w:t>
      </w:r>
      <w:r>
        <w:t xml:space="preserve">] any other provision, Section 37.002 and its provisions, wherever referenced, are not applicable to an open-enrollment charter school unless the governing body of the school so determines.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suspension under this section may not exceed three school days.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