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86R13259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images captured by an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 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image is captured by a state agency or local health authority:</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purpose of assessing unsafe environmental conditions when physical entry onto the property is unsafe due to conditions such as an abandoned swimming pool, illegal dumping of refuse, or a chemical leak or spill;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response to an inspection, or attempted inspection, on commercial property or to a disaster, as defined by Section 418.004;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agency or local health authority: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provides notice to the owner or manager of the property, as applicable, before the agency or authority captures the image;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determines that conditions on the property are an imminent threat to public health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