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86R25478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Moody, Canales, Miller, Dutton,</w:t>
      </w:r>
      <w:r xml:space="preserve">
        <w:tab wTab="150" tlc="none" cTlc="0"/>
      </w:r>
      <w:r>
        <w:t xml:space="preserve">H.B.</w:t>
      </w:r>
      <w:r xml:space="preserve">
        <w:t> </w:t>
      </w:r>
      <w:r>
        <w:t xml:space="preserve">No.</w:t>
      </w:r>
      <w:r xml:space="preserve">
        <w:t> </w:t>
      </w:r>
      <w:r>
        <w:t xml:space="preserve">2518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2518:</w:t>
      </w: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C.S.H.B.</w:t>
      </w:r>
      <w:r xml:space="preserve">
        <w:t> </w:t>
      </w:r>
      <w:r>
        <w:t xml:space="preserve">No.</w:t>
      </w:r>
      <w:r xml:space="preserve">
        <w:t> </w:t>
      </w:r>
      <w:r>
        <w:t xml:space="preserve">2518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of two ounces or less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for a misdemeanor punishable by fine only under Section 481.121(b)(1),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only commits an offense punishable by fine only under Section 481.121(b)(1),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w:t>
      </w:r>
      <w:r>
        <w:t xml:space="preserve"> [</w:t>
      </w:r>
      <w:r>
        <w:rPr>
          <w:strike/>
        </w:rPr>
        <w:t xml:space="preserve">(b)(1) or (2)</w:t>
      </w:r>
      <w:r>
        <w:t xml:space="preserve">] of that section;</w:t>
      </w:r>
    </w:p>
    <w:p w:rsidR="003F3435" w:rsidRDefault="0032493E">
      <w:pPr>
        <w:spacing w:line="480" w:lineRule="auto"/>
        <w:ind w:firstLine="1440"/>
        <w:jc w:val="both"/>
      </w:pPr>
      <w:r>
        <w:t xml:space="preserve">(1-a) 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w:t>
      </w:r>
      <w:r>
        <w:rPr>
          <w:u w:val="single"/>
        </w:rPr>
        <w:t xml:space="preserve">C</w:t>
      </w:r>
      <w:r>
        <w:t xml:space="preserve"> [</w:t>
      </w:r>
      <w:r>
        <w:rPr>
          <w:strike/>
        </w:rPr>
        <w:t xml:space="preserve">B</w:t>
      </w:r>
      <w:r>
        <w:t xml:space="preserve">] misdemeanor if the amount of marihuana possessed is two ounces or less;</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w:t>
      </w:r>
      <w:r>
        <w:rPr>
          <w:u w:val="single"/>
        </w:rPr>
        <w:t xml:space="preserve">or</w:t>
      </w:r>
      <w:r>
        <w:t xml:space="preserve"> 481.120(b)(1)[</w:t>
      </w:r>
      <w:r>
        <w:rPr>
          <w:strike/>
        </w:rPr>
        <w:t xml:space="preserve">, or 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placed on community supervision under Chapter 42A, Code of Criminal Procedure, after conviction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w:t>
      </w:r>
      <w:r>
        <w:rPr>
          <w:strike/>
        </w:rPr>
        <w:t xml:space="preserve">Section 481.121, Health and Safety Code, if the offense is punishable under Subsection (b)(1);</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31.03, Penal Code, if the offense is punishable under Subsection (e)(1) or (2);</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Section 43.02, Penal Code; or</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Section 43.03(a)(2), Penal Code, if the offense is punishable as a Class A misdemeanor; and</w:t>
      </w:r>
    </w:p>
    <w:p w:rsidR="003F3435" w:rsidRDefault="0032493E">
      <w:pPr>
        <w:spacing w:line="480" w:lineRule="auto"/>
        <w:ind w:firstLine="1440"/>
        <w:jc w:val="both"/>
      </w:pPr>
      <w:r>
        <w:t xml:space="preserve">(2)</w:t>
      </w:r>
      <w:r xml:space="preserve">
        <w:t> </w:t>
      </w:r>
      <w:r xml:space="preserve">
        <w:t> </w:t>
      </w:r>
      <w:r>
        <w:t xml:space="preserve">with respect to whom the conviction is subsequently set aside by the court under Article 42A.701,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521.372,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a person's license is not automatically suspended on conviction of an offense punishable by fine only under Section 481.121(b)(1), Health and Safety Code.  Notwithstanding Subsection (b), the department is not prohibited from issuing a driver's license to a person convicted of an offense punishable by fine only under Section 481.121(b)(1), Health and Safety Code, who, on the date of the conviction, did not hold a driver's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14.01(c) and 14.03(h), Code of Criminal Procedure, as added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481.121 and 481.134, Health and Safety Code, as amended by this Act, apply to an offense committed under Section 481.121 or an offense committed under Section 481.121 and punishable under Section 481.134 before, on, or after September 1, 2019, except that a final conviction for an offense that exists on September 1, 2019,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521.372(d), Transportation Code, as added by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any modification to or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