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the possession of two ounces or less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 or (2)</w:t>
      </w:r>
      <w:r>
        <w:t xml:space="preserve">] of that section;</w:t>
      </w:r>
    </w:p>
    <w:p w:rsidR="003F3435" w:rsidRDefault="0032493E">
      <w:pPr>
        <w:spacing w:line="480" w:lineRule="auto"/>
        <w:ind w:firstLine="1440"/>
        <w:jc w:val="both"/>
      </w:pPr>
      <w:r>
        <w:t xml:space="preserve">(1-a) 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C</w:t>
      </w:r>
      <w:r>
        <w:t xml:space="preserve"> [</w:t>
      </w:r>
      <w:r>
        <w:rPr>
          <w:strike/>
        </w:rPr>
        <w:t xml:space="preserve">B</w:t>
      </w:r>
      <w:r>
        <w:t xml:space="preserve">]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w:t>
      </w:r>
      <w:r>
        <w:rPr>
          <w:u w:val="single"/>
        </w:rPr>
        <w:t xml:space="preserve">or</w:t>
      </w:r>
      <w:r>
        <w:t xml:space="preserve"> 481.120(b)(1)[</w:t>
      </w:r>
      <w:r>
        <w:rPr>
          <w:strike/>
        </w:rPr>
        <w:t xml:space="preserve">, or 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w:t>
      </w:r>
      <w:r>
        <w:rPr>
          <w:strike/>
        </w:rPr>
        <w:t xml:space="preserve">Section 481.121, Health and Safety Code, if the offense is punishable under Subsection (b)(1);</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Section 43.02, Penal Code; or</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