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86R8184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on felony defendants placed on community supervision who are young adults and to certain measures to reduce the revocation rate of those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509, Government Code, is amended by adding Section 509.018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509.018.</w:t>
      </w:r>
      <w:r>
        <w:rPr>
          <w:u w:val="single"/>
        </w:rPr>
        <w:t xml:space="preserve"> </w:t>
      </w:r>
      <w:r>
        <w:rPr>
          <w:u w:val="single"/>
        </w:rPr>
        <w:t xml:space="preserve"> </w:t>
      </w:r>
      <w:r>
        <w:rPr>
          <w:u w:val="single"/>
        </w:rPr>
        <w:t xml:space="preserve">INFORMATION ON OUTCOMES OF CERTAIN FELONY DEFENDANTS PLACED ON COMMUNITY SUPERVISION; MEASURES TO REDUCE REVOCATION RATE.  (a)  In this section, "young adult" means a person who is at least 17 years of age but younger than 25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require each department to annually report to the division, in the manner prescribed by the division,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rate for felony defendants placed on community supervision in a county served by the department who are young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felony defendants described by Subdivision (1) who completed the period of community supervision;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recidivism rates for felony defendants described by Subdivision (1) following the first, second, and third anniversary of the date the defendants were placed on community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reported under Subsection (b) must be disaggregated by race, ethnicity, offense type, and supervision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include a summary of the information reported under Subsection (b) in the report prepared under Section 509.004(c).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may provide technical assistance to departments that serve counties in which the revocation rate for felony defendants described by Subsection (b)(1) significantly exceeds the statewide average or historically has significantly exceeded the statewide average for felony defendants described by that subsection who have a similar supervision level.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Technical assistance provided under Subsection (e) must include information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developmental psychology;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supervision practices for defendants who are young adults;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adverse childhood experiences and past trauma on the supervision of defendants who are young adults.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require a department described by Subsection (e) to develop and submit to the division a corrective action plan establishing the measures the department will take to reduce the revocation rate for felony defendants described by Subsection (b)(1), including measures for creating collaborative relationships with nonprofit organizations that provide multidisciplinary services for young adults who are involved in the criminal justice system.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When awarding a grant to a department for the purpose of reducing the revocation rate for felony defendants described by Subsection (b)(1), the division shall give priority to departments that are required to submit a corrective action plan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