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cosmetology licensing and sanitation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1603.102, Occupations Code, is amended to read as follows:</w:t>
      </w:r>
    </w:p>
    <w:p w:rsidR="003F3435" w:rsidRDefault="0032493E">
      <w:pPr>
        <w:spacing w:line="480" w:lineRule="auto"/>
        <w:ind w:firstLine="720"/>
        <w:jc w:val="both"/>
      </w:pPr>
      <w:r>
        <w:t xml:space="preserve">Sec.</w:t>
      </w:r>
      <w:r xml:space="preserve">
        <w:t> </w:t>
      </w:r>
      <w:r>
        <w:t xml:space="preserve">1603.102.</w:t>
      </w:r>
      <w:r xml:space="preserve">
        <w:t> </w:t>
      </w:r>
      <w:r xml:space="preserve">
        <w:t> </w:t>
      </w:r>
      <w:r>
        <w:t xml:space="preserve">SANITATION RULES. </w:t>
      </w:r>
      <w:r>
        <w:t xml:space="preserve"> </w:t>
      </w:r>
      <w:r>
        <w:rPr>
          <w:u w:val="single"/>
        </w:rPr>
        <w:t xml:space="preserve">(a)</w:t>
      </w:r>
      <w:r>
        <w:t xml:space="preserve"> </w:t>
      </w:r>
      <w:r>
        <w:t xml:space="preserve"> </w:t>
      </w:r>
      <w:r>
        <w:t xml:space="preserve">The commission shall establish sanitation rules to prevent the spread of an infectious or contagious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applicable to an individual or facility regulated under Chapter 1602 shall be consistent with the standards and terminology related to safety and sanitation that are commonly used in the cosmetology industry.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required under this subchapter:</w:t>
      </w:r>
    </w:p>
    <w:p w:rsidR="003F3435" w:rsidRDefault="0032493E">
      <w:pPr>
        <w:spacing w:line="480" w:lineRule="auto"/>
        <w:ind w:firstLine="1440"/>
        <w:jc w:val="both"/>
      </w:pPr>
      <w:r>
        <w:t xml:space="preserve">(1)</w:t>
      </w:r>
      <w:r xml:space="preserve">
        <w:t> </w:t>
      </w:r>
      <w:r xml:space="preserve">
        <w:t> </w:t>
      </w:r>
      <w:r>
        <w:t xml:space="preserve">the department;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beauty culture school or a vocational cosmetology program in a public school licensed under this chapter or Chapter 1602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1603.256(c), Occupations Code, applies to an examination administered on or after the effective date of this Act. An examination administered before the effective date of this Act is governed by the law in effect on the date the examination was administered,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