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86R3186 SRS-D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certain water districts make audio and video recordings of open meetings available on the Internet.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551.128(a) and (b-1),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"Internet" means the largest nonproprietary cooperative public computer network, popularly known as the Internet.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"Water district" has the meaning assigned by Section 551.131(a).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transit authority or department subject to Chapter 451, 452, 453, or 460, Transportation Code, an elected school district board of trustees for a school district that has a student enrollment of 10,000 or more, an elected governing body of a home-rule municipality that has a population of 50,000 or more, </w:t>
      </w:r>
      <w:r>
        <w:rPr>
          <w:u w:val="single"/>
        </w:rPr>
        <w:t xml:space="preserve">a water district whose territory includes land in three or more counties,</w:t>
      </w:r>
      <w:r>
        <w:t xml:space="preserve"> or a county commissioners court for a county that has a population of 125,000 or more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make a video and audio recording of reasonable quality of each: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regularly scheduled open meeting that is not a work session or a special called meeting;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open meeting that is a work session or special called meeting if: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governmental body is an elected school district board of trustees for a school district that has a student enrollment of 10,000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at the work session or special called meeting, the board of trustees votes on any matter or allows public comment or testimony;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available an archived copy of the video and audio recording of each meeting described by Subdivision (1) on the Internet.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