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86R11837 AAF-D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Flynn</w:t>
      </w:r>
      <w:r xml:space="preserve">
        <w:tab wTab="150" tlc="none" cTlc="0"/>
      </w:r>
      <w:r>
        <w:t xml:space="preserve">H.B.</w:t>
      </w:r>
      <w:r xml:space="preserve">
        <w:t> </w:t>
      </w:r>
      <w:r>
        <w:t xml:space="preserve">No.</w:t>
      </w:r>
      <w:r xml:space="preserve">
        <w:t> </w:t>
      </w:r>
      <w:r>
        <w:t xml:space="preserve">2530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by the Texas Veterans Commission of an online repository of information of use to active duty military relocating to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434, Government Code, is amended by adding Section 434.026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434.026.</w:t>
      </w:r>
      <w:r>
        <w:rPr>
          <w:u w:val="single"/>
        </w:rPr>
        <w:t xml:space="preserve"> </w:t>
      </w:r>
      <w:r>
        <w:rPr>
          <w:u w:val="single"/>
        </w:rPr>
        <w:t xml:space="preserve"> </w:t>
      </w:r>
      <w:r>
        <w:rPr>
          <w:u w:val="single"/>
        </w:rPr>
        <w:t xml:space="preserve">ONLINE REPOSITORY FOR ACTIVE DUTY MILITARY.  (a) </w:t>
      </w:r>
      <w:r>
        <w:rPr>
          <w:u w:val="single"/>
        </w:rPr>
        <w:t xml:space="preserve"> </w:t>
      </w:r>
      <w:r>
        <w:rPr>
          <w:u w:val="single"/>
        </w:rPr>
        <w:t xml:space="preserve">The Texas Veterans Commission shall develop and maintain on the state electronic Internet portal project described by Section 2054.252 an online repository of information of use to active duty members of the United States armed forces and their families relocating to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repository under Subsection (a) must include information on assistance, fee waivers, and programs the state provides to active duty members of the United States armed forces and their families related to occupational and professional licenses, education, and health care.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link to the repository developed under Subsection (a) must be prominently displayed on the public home page of the state electronic Internet portal project described by Section 2054.252.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