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86R11825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2535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Military Preparedness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436.105(d),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task force is abolished and this section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436.205(b),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panel shall evaluate each grant application and assign the applicant a score based on:</w:t>
      </w:r>
    </w:p>
    <w:p w:rsidR="003F3435" w:rsidRDefault="0032493E">
      <w:pPr>
        <w:spacing w:line="480" w:lineRule="auto"/>
        <w:ind w:firstLine="1440"/>
        <w:jc w:val="both"/>
      </w:pPr>
      <w:r>
        <w:t xml:space="preserve">(1)</w:t>
      </w:r>
      <w:r xml:space="preserve">
        <w:t> </w:t>
      </w:r>
      <w:r xml:space="preserve">
        <w:t> </w:t>
      </w:r>
      <w:r>
        <w:t xml:space="preserve">the significance of the adverse or positive effect within the local governmental entity[</w:t>
      </w:r>
      <w:r>
        <w:rPr>
          <w:strike/>
        </w:rPr>
        <w:t xml:space="preserve">, including the number of jobs that may be lost or gained in relation to the workforce in the local governmental entity's jurisdiction and the effect on the entity's and surrounding area's economy and tax revenue</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any other criteria established by the commission</w:t>
      </w:r>
      <w:r>
        <w:t xml:space="preserve"> </w:t>
      </w:r>
      <w:r>
        <w:t xml:space="preserve">[</w:t>
      </w:r>
      <w:r>
        <w:rPr>
          <w:strike/>
        </w:rPr>
        <w:t xml:space="preserve">the extent to which the local governmental entity may have used its existing resources to promote local economic development;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amount of any grant that the local governmental entity has previously received under this subchapter;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anticipated number of jobs that may be created or retained in relation to the amount of the grant sought;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extent to which the grant will affect the region in which the local governmental entity is located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436.207,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