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86R11051 LED-F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Harless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participation in the Texas County and District Retirement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841.001(17),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(17)</w:t>
      </w:r>
      <w:r xml:space="preserve">
        <w:t> </w:t>
      </w:r>
      <w:r xml:space="preserve">
        <w:t> </w:t>
      </w:r>
      <w:r>
        <w:t xml:space="preserve">"Subdivision" means a political subdivision of the state that is not eligible to participate in any other statewide retirement system or that is not currently participating in a retirement system established by the legislature.  The term includes [</w:t>
      </w:r>
      <w:r>
        <w:rPr>
          <w:strike/>
        </w:rPr>
        <w:t xml:space="preserve">the Texas Association of Counties,</w:t>
      </w:r>
      <w:r>
        <w:t xml:space="preserve">] the retirement system[</w:t>
      </w:r>
      <w:r>
        <w:rPr>
          <w:strike/>
        </w:rPr>
        <w:t xml:space="preserve">,</w:t>
      </w:r>
      <w:r>
        <w:t xml:space="preserve">] and a city-county hospital jointly managed under Subchapter B, Chapter 265, Health and Safety Code.  The term does not include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branch, division, department, employee classification group, or other separately identified component of a political subdivision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incorporated nongovernmental entity, nonprofit corporation, or other external service provider of a political subdivision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The change in law made by this Act does not affect a person who is a retiree in the Texas County and District Retirement System before the effective date of this Act,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effective date of this Act, an individual who is a member of the Texas County and District Retirement System who is employed by an entity that is not a subdivision for purposes of Section 841.001(17), Government Code, as amended by this Act, is treated as an individual who separates from employment with a participating subdivision as a vested member of the system, as defined by Section 841.001,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