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86R13994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on the prevalence of dyslexia and illiteracy among incarcerated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501.0052.</w:t>
      </w:r>
      <w:r>
        <w:rPr>
          <w:u w:val="single"/>
        </w:rPr>
        <w:t xml:space="preserve"> </w:t>
      </w:r>
      <w:r>
        <w:rPr>
          <w:u w:val="single"/>
        </w:rPr>
        <w:t xml:space="preserve"> </w:t>
      </w:r>
      <w:r>
        <w:rPr>
          <w:u w:val="single"/>
        </w:rPr>
        <w:t xml:space="preserve">REPORT ON INCIDENCE OF DYSLEXIA AND ILLITERACY AMONG INCARCERATED PERSONS.  (a)  Not later than September 1, 2020, the department shall identify each dyslexic inmate housed in facilities operated by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department shall use the information obtained under Subsection (a) and Section 501.005(c) to prepare a written report providing statistical information regarding the incidence of dyslexia and functional illiteracy among incarcerated persons in this state.  The report must include the findings and legislative recommendations of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submit the report to the governor, lieutenant governor, speaker of the house of representatives, and chair of each legislative standing committee having jurisdiction over corrections.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