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86R6155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guidelines for policies of school districts and open-enrollment charter schools for the care of certain students at risk for anaphylaxis.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38.0151, Education Code, is amended by amending Subsections (a), (b), and (e) and adding Subsection (g)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and the governing body or an appropriate officer of each open-enrollment charter school shall adopt and administer a policy for the care of students with a diagnosed food allergy at risk for anaphylaxis based on </w:t>
      </w:r>
      <w:r>
        <w:rPr>
          <w:u w:val="single"/>
        </w:rPr>
        <w:t xml:space="preserve">"Guidelines for the Care of Students With Food Allergies At-Risk for Anaphylaxis"</w:t>
      </w:r>
      <w:r>
        <w:t xml:space="preserve"> [</w:t>
      </w:r>
      <w:r>
        <w:rPr>
          <w:strike/>
        </w:rPr>
        <w:t xml:space="preserve">guidelines</w:t>
      </w:r>
      <w:r>
        <w:t xml:space="preserve">] developed by the commissioner of state health services </w:t>
      </w:r>
      <w:r>
        <w:rPr>
          <w:u w:val="single"/>
        </w:rPr>
        <w:t xml:space="preserve">under this section and updated by the commissioner of state health services</w:t>
      </w:r>
      <w:r>
        <w:t xml:space="preserve"> in consultation with an ad hoc committee appointed by the commissioner of state health services </w:t>
      </w:r>
      <w:r>
        <w:rPr>
          <w:u w:val="single"/>
        </w:rPr>
        <w:t xml:space="preserve">as provided by Section 38.0152</w:t>
      </w:r>
      <w:r>
        <w:t xml:space="preserve">.</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w:t>
      </w:r>
      <w:r>
        <w:rPr>
          <w:strike/>
        </w:rPr>
        <w:t xml:space="preserve">that implemented a policy for the care of students with a diagnosed food allergy at risk for anaphylaxis before the development of the guidelines described by Subsection (a)</w:t>
      </w:r>
      <w:r>
        <w:t xml:space="preserve">] shall </w:t>
      </w:r>
      <w:r>
        <w:rPr>
          <w:u w:val="single"/>
        </w:rPr>
        <w:t xml:space="preserve">annually</w:t>
      </w:r>
      <w:r>
        <w:t xml:space="preserve"> review [</w:t>
      </w:r>
      <w:r>
        <w:rPr>
          <w:strike/>
        </w:rPr>
        <w:t xml:space="preserve">the policy</w:t>
      </w:r>
      <w:r>
        <w:t xml:space="preserve">] and</w:t>
      </w:r>
      <w:r>
        <w:rPr>
          <w:u w:val="single"/>
        </w:rPr>
        <w:t xml:space="preserve">, as necessary,</w:t>
      </w:r>
      <w:r>
        <w:t xml:space="preserve"> revise </w:t>
      </w:r>
      <w:r>
        <w:rPr>
          <w:u w:val="single"/>
        </w:rPr>
        <w:t xml:space="preserve">its</w:t>
      </w:r>
      <w:r>
        <w:t xml:space="preserve"> [</w:t>
      </w:r>
      <w:r>
        <w:rPr>
          <w:strike/>
        </w:rPr>
        <w:t xml:space="preserve">the</w:t>
      </w:r>
      <w:r>
        <w:t xml:space="preserve">] policy </w:t>
      </w:r>
      <w:r>
        <w:rPr>
          <w:u w:val="single"/>
        </w:rPr>
        <w:t xml:space="preserve">for the care of students with a diagnosed food allergy at risk for anaphylaxis</w:t>
      </w:r>
      <w:r>
        <w:t xml:space="preserve"> [</w:t>
      </w:r>
      <w:r>
        <w:rPr>
          <w:strike/>
        </w:rPr>
        <w:t xml:space="preserve">as necessary</w:t>
      </w:r>
      <w:r>
        <w:t xml:space="preserve">] to ensure the policy is consistent with the </w:t>
      </w:r>
      <w:r>
        <w:rPr>
          <w:u w:val="single"/>
        </w:rPr>
        <w:t xml:space="preserve">most current version of the</w:t>
      </w:r>
      <w:r>
        <w:t xml:space="preserve"> guidelines </w:t>
      </w:r>
      <w:r>
        <w:rPr>
          <w:u w:val="single"/>
        </w:rPr>
        <w:t xml:space="preserve">described by Subsection (a)</w:t>
      </w:r>
      <w:r>
        <w:t xml:space="preserve">.</w:t>
      </w:r>
    </w:p>
    <w:p w:rsidR="003F3435" w:rsidRDefault="0032493E">
      <w:pPr>
        <w:spacing w:line="480" w:lineRule="auto"/>
        <w:ind w:firstLine="720"/>
        <w:jc w:val="both"/>
      </w:pPr>
      <w:r>
        <w:t xml:space="preserve">(e)</w:t>
      </w:r>
      <w:r xml:space="preserve">
        <w:t> </w:t>
      </w:r>
      <w:r xml:space="preserve">
        <w:t> </w:t>
      </w:r>
      <w:r>
        <w:t xml:space="preserve">The agency shall post the guidelines </w:t>
      </w:r>
      <w:r>
        <w:rPr>
          <w:u w:val="single"/>
        </w:rPr>
        <w:t xml:space="preserve">described by Subsection (a)</w:t>
      </w:r>
      <w:r>
        <w:t xml:space="preserve"> </w:t>
      </w:r>
      <w:r>
        <w:t xml:space="preserve">[</w:t>
      </w:r>
      <w:r>
        <w:rPr>
          <w:strike/>
        </w:rPr>
        <w:t xml:space="preserve">developed by the commissioner of state health services under this section</w:t>
      </w:r>
      <w:r>
        <w:t xml:space="preserve">] on the agency's website with any other information relating to students with special health needs.  </w:t>
      </w:r>
      <w:r>
        <w:rPr>
          <w:u w:val="single"/>
        </w:rPr>
        <w:t xml:space="preserve">The information posted by the agency must include a summary of the guidelines.  The agency shall annually review and, as necessary, revise the summary and any other information to reflect the most current version of the guidelines.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year, the board of trustees of each school district and the governing body of each open-enrollment charter school shall provide a copy of the guidelines summary posted on the agency's website to each student enrolled in the district or school and a parent or guardian of each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38.0152.</w:t>
      </w:r>
      <w:r>
        <w:rPr>
          <w:u w:val="single"/>
        </w:rPr>
        <w:t xml:space="preserve"> </w:t>
      </w:r>
      <w:r>
        <w:rPr>
          <w:u w:val="single"/>
        </w:rPr>
        <w:t xml:space="preserve"> </w:t>
      </w:r>
      <w:r>
        <w:rPr>
          <w:u w:val="single"/>
        </w:rPr>
        <w:t xml:space="preserve">COMMITTEE TO ASSIST IN UPDATING GUIDELINES FOR CARE OF STUDENTS AT RISK FOR ANAPHYLAXIS.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means "Guidelines for the Care of Students With Food Allergies At-Risk for Anaphylaxis" on which school district and open-enrollment charter school policies for the care of students with a diagnosed food allergy at risk for anaphylaxis are based as provided by Section 38.0151.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members to an ad hoc committee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representative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department;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Nurses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physician who is a member of the American Academy of Allergy, Asthma &amp; Immunology;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individuals from one or more national patient advocacy organizations representing the interests of food allergies, anaphylaxis, and related medical issues, including asthma;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principal of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classroom teacher employed at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superintendent of a school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of a board of trustees of a school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of a governing body of an open-enrollment charter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two parents of public school students with a diagnosed food allergy at risk for anaphylaxis;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 physician trained to diagnose, treat, and manage allergies with experience in new and emerging allergy management best practices and treatments, including new methods, treatments, and therapies to reduce the risk of allergic reactions, including anaphylaxis.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 hoc committee members shall serve for a period determined by the commissioner.  On the resignation of a member of the committee or the removal of a member from the committee by the commissioner, the commissioner shall appoint a new member to the committee who qualifies for the committee in the same manner that the member who resigned or is removed qualified.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2110.005, Government Code, does not apply to the ad hoc committee appointed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least once every three years, the commissioner shall order a meeting of the committee to update the guidelines to incorporate any new food-allergy management best practices and treatments.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order a meeting of the committee at any time the commissioner determines necessary for the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protection of students with food allergies at risk for anaphylaxis;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guidelines.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state health services shall:</w:t>
      </w:r>
    </w:p>
    <w:p w:rsidR="003F3435" w:rsidRDefault="0032493E">
      <w:pPr>
        <w:spacing w:line="480" w:lineRule="auto"/>
        <w:ind w:firstLine="1440"/>
        <w:jc w:val="both"/>
      </w:pPr>
      <w:r>
        <w:t xml:space="preserve">(1)</w:t>
      </w:r>
      <w:r xml:space="preserve">
        <w:t> </w:t>
      </w:r>
      <w:r xml:space="preserve">
        <w:t> </w:t>
      </w:r>
      <w:r>
        <w:t xml:space="preserve">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3F3435" w:rsidRDefault="0032493E">
      <w:pPr>
        <w:spacing w:line="480" w:lineRule="auto"/>
        <w:ind w:firstLine="1440"/>
        <w:jc w:val="both"/>
      </w:pPr>
      <w:r>
        <w:t xml:space="preserve">(2)</w:t>
      </w:r>
      <w:r xml:space="preserve">
        <w:t> </w:t>
      </w:r>
      <w:r xml:space="preserve">
        <w:t> </w:t>
      </w:r>
      <w:r>
        <w:t xml:space="preserve">not later than March 1, 2020, in consultation with the ad hoc committee, update the guidelines as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