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86R12133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retaliation against state employees for referring to climate change or global warming.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651, Government Code, is amended by adding Section 651.011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651.011.</w:t>
      </w:r>
      <w:r>
        <w:rPr>
          <w:u w:val="single"/>
        </w:rPr>
        <w:t xml:space="preserve"> </w:t>
      </w:r>
      <w:r>
        <w:rPr>
          <w:u w:val="single"/>
        </w:rPr>
        <w:t xml:space="preserve"> </w:t>
      </w:r>
      <w:r>
        <w:rPr>
          <w:u w:val="single"/>
        </w:rPr>
        <w:t xml:space="preserve">RETALIATION PROHIBITED FOR CLIMATE CHANGE OR GLOBAL WARMING REFERENCES.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action" means an action that affects an employee's compensation, promotion, demotion, transfer, work assignment, or performance evaluation.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office, or other agency in the executive branch of state government, created under the constitution or a statute of the state, including an institution of higher education, as defined by Section 61.003,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Supreme Court, the Texas Court of Criminal Appeals, a court of appeals, a state judicial agency, or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suspend or terminate the employment of, or take other adverse personnel action against, an employee of the agency who in the course of employment refers to climate change, global warming, or the effects of those phenomena.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