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grants by the Cancer Prevention and Research Institute of Texas Oversight Committee and to the payment of claims related to those grants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claim may not be paid from an appropriation unless the claim is presented to the comptroller for payment not later than two years after the end of the fiscal year for which the appropriation was made. However, a claim may be presented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not later than four years after the end of the fiscal year for which the appropriation from which the claim is to be paid was made if the appropriation relates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new construction contracts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w:t>
      </w:r>
      <w:r>
        <w:t xml:space="preserve">] grants awarded under Chapter 391, Health and Safety Code</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or to</w:t>
      </w:r>
      <w:r>
        <w:t xml:space="preserve">] repair and remodeling projects that exceed the amount of $20,000, including furniture and other equipment </w:t>
      </w:r>
      <w:r>
        <w:rPr>
          <w:u w:val="single"/>
        </w:rPr>
        <w:t xml:space="preserve">and</w:t>
      </w:r>
      <w:r>
        <w:t xml:space="preserve">[</w:t>
      </w:r>
      <w:r>
        <w:rPr>
          <w:strike/>
        </w:rPr>
        <w:t xml:space="preserve">,</w:t>
      </w:r>
      <w:r>
        <w:t xml:space="preserve">] architects' and engineering fees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(D)</w:t>
      </w:r>
      <w:r xml:space="preserve">
        <w:t> </w:t>
      </w:r>
      <w:r xml:space="preserve">
        <w:t> </w:t>
      </w:r>
      <w:r>
        <w:t xml:space="preserve">other costs related to the contracts or projects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seven years after the end of the fiscal year for which the appropriation from which the claim is to be paid was made if the appropriation relates to grants awarded under Chapter 102,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