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Nelson, et al.)</w:t>
      </w:r>
      <w:r xml:space="preserve">
        <w:tab wTab="150" tlc="none" cTlc="0"/>
      </w:r>
      <w:r>
        <w:t xml:space="preserve">H.B.</w:t>
      </w:r>
      <w:r xml:space="preserve">
        <w:t> </w:t>
      </w:r>
      <w:r>
        <w:t xml:space="preserve">No.</w:t>
      </w:r>
      <w:r xml:space="preserve">
        <w:t> </w:t>
      </w:r>
      <w:r>
        <w:t xml:space="preserve">2570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May</w:t>
      </w:r>
      <w:r xml:space="preserve">
        <w:t> </w:t>
      </w:r>
      <w:r>
        <w:t xml:space="preserve">1,</w:t>
      </w:r>
      <w:r xml:space="preserve">
        <w:t> </w:t>
      </w:r>
      <w:r>
        <w:t xml:space="preserve">2019, read first time and referred to Committee on Finance; May</w:t>
      </w:r>
      <w:r xml:space="preserve">
        <w:t> </w:t>
      </w:r>
      <w:r>
        <w:t xml:space="preserve">7,</w:t>
      </w:r>
      <w:r xml:space="preserve">
        <w:t> </w:t>
      </w:r>
      <w:r>
        <w:t xml:space="preserve">2019, reported favorably by the following vote:</w:t>
      </w:r>
      <w:r>
        <w:t xml:space="preserve"> </w:t>
      </w:r>
      <w:r>
        <w:t xml:space="preserve"> </w:t>
      </w:r>
      <w:r>
        <w:t xml:space="preserve">Yeas 14, Nays 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award of grants by the Cancer Prevention and Research Institute of Texas Oversight Committee and to the payment of claims related to those grants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claim may not be paid from an appropriation unless the claim is presented to the comptroller for payment not later than two years after the end of the fiscal year for which the appropriation was made. However, a claim may be presented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not later than four years after the end of the fiscal year for which the appropriation from which the claim is to be paid was made if the appropriation relates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new construction contracts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to</w:t>
      </w:r>
      <w:r>
        <w:t xml:space="preserve">] grants awarded under Chapter 391, Health and Safety Code</w:t>
      </w:r>
      <w:r>
        <w:rPr>
          <w:u w:val="single"/>
        </w:rPr>
        <w:t xml:space="preserve">;</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or to</w:t>
      </w:r>
      <w:r>
        <w:t xml:space="preserve">] repair and remodeling projects that exceed the amount of $20,000, including furniture and other equipment </w:t>
      </w:r>
      <w:r>
        <w:rPr>
          <w:u w:val="single"/>
        </w:rPr>
        <w:t xml:space="preserve">and</w:t>
      </w:r>
      <w:r>
        <w:t xml:space="preserve">[</w:t>
      </w:r>
      <w:r>
        <w:rPr>
          <w:strike/>
        </w:rPr>
        <w:t xml:space="preserve">,</w:t>
      </w:r>
      <w:r>
        <w:t xml:space="preserve">] architects' and engineering fees</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(D)</w:t>
      </w:r>
      <w:r xml:space="preserve">
        <w:t> </w:t>
      </w:r>
      <w:r xml:space="preserve">
        <w:t> </w:t>
      </w:r>
      <w:r>
        <w:t xml:space="preserve">other costs related to the contracts or projects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seven years after the end of the fiscal year for which the appropriation from which the claim is to be paid was made if the appropriation relates to grants awarded under Chapter 102, Health and Safety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