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86R23773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2576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2576: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prescribing and dispensing certain controlled substances to patients diagnosed with sickle cell disease.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481.0765(a)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prescriber is not subject to the requirements of Section 481.0764(a) if:</w:t>
      </w:r>
    </w:p>
    <w:p w:rsidR="003F3435" w:rsidRDefault="0032493E">
      <w:pPr>
        <w:spacing w:line="480" w:lineRule="auto"/>
        <w:ind w:firstLine="1440"/>
        <w:jc w:val="both"/>
      </w:pPr>
      <w:r>
        <w:t xml:space="preserve">(1)</w:t>
      </w:r>
      <w:r xml:space="preserve">
        <w:t> </w:t>
      </w:r>
      <w:r xml:space="preserve">
        <w:t> </w:t>
      </w:r>
      <w:r>
        <w:t xml:space="preserve">the patient has been diagnosed with cancer </w:t>
      </w:r>
      <w:r>
        <w:rPr>
          <w:u w:val="single"/>
        </w:rPr>
        <w:t xml:space="preserve">or sickle cell disease</w:t>
      </w:r>
      <w:r>
        <w:t xml:space="preserve"> or the patient is receiving hospice care; and</w:t>
      </w:r>
    </w:p>
    <w:p w:rsidR="003F3435" w:rsidRDefault="0032493E">
      <w:pPr>
        <w:spacing w:line="480" w:lineRule="auto"/>
        <w:ind w:firstLine="1440"/>
        <w:jc w:val="both"/>
      </w:pPr>
      <w:r>
        <w:t xml:space="preserve">(2)</w:t>
      </w:r>
      <w:r xml:space="preserve">
        <w:t> </w:t>
      </w:r>
      <w:r xml:space="preserve">
        <w:t> </w:t>
      </w:r>
      <w:r>
        <w:t xml:space="preserve">the prescriber clearly notes in the prescription record that the patient was diagnosed with cancer </w:t>
      </w:r>
      <w:r>
        <w:rPr>
          <w:u w:val="single"/>
        </w:rPr>
        <w:t xml:space="preserve">or sickle cell disease</w:t>
      </w:r>
      <w:r>
        <w:t xml:space="preserve"> or is receiving hospice care, as applicable.</w:t>
      </w:r>
    </w:p>
    <w:p w:rsidR="003F3435" w:rsidRDefault="0032493E">
      <w:pPr>
        <w:spacing w:line="480" w:lineRule="auto"/>
        <w:ind w:firstLine="720"/>
        <w:jc w:val="both"/>
      </w:pPr>
      <w:r>
        <w:t xml:space="preserve">(b)</w:t>
      </w:r>
      <w:r xml:space="preserve">
        <w:t> </w:t>
      </w:r>
      <w:r xml:space="preserve">
        <w:t> </w:t>
      </w:r>
      <w:r>
        <w:t xml:space="preserve">A dispenser is not subject to the requirements of Section 481.0764(a) if it is clearly noted in the prescription record that the patient has been diagnosed with cancer </w:t>
      </w:r>
      <w:r>
        <w:rPr>
          <w:u w:val="single"/>
        </w:rPr>
        <w:t xml:space="preserve">or sickle cell disease</w:t>
      </w:r>
      <w:r>
        <w:t xml:space="preserve"> or is receiving hospice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prescription issued on or after the effective date of this Act.  A prescription issued before the effective date of this Act is governed by the law in effect on the date the prescription is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