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toll collection and enforcement by private participants in certain comprehensive development agreements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223.208, Transportation Code, is amended by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228.0545, 228.0546, and 228.0547 do not apply to toll collection by a private participant or subcontractor under a comprehensive development agreement for a toll project located in a county with a population of 3.3 million or more if the agreement was </w:t>
      </w:r>
      <w:r>
        <w:rPr>
          <w:u w:val="single"/>
        </w:rPr>
        <w:t xml:space="preserve">entered into before September 1, 2017.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