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86R19720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Brazoria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2578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2578: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2578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toll collection and enforcement by private participants in comprehensive development agreements with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223.208, Transportation Code, is amended by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Sections 228.0545, 228.0546, and 228.0547 do not apply to toll collection by a private participant or subcontractor under a comprehensive development agreement entered into before September 1, 2017.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2578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