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toll collection and enforcement by private participants in comprehensive development agreements with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223.208,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Sections 228.0545, 228.0546, and 228.0547 do not apply </w:t>
      </w:r>
      <w:r>
        <w:rPr>
          <w:u w:val="single"/>
        </w:rPr>
        <w:t xml:space="preserve">to toll collection by a private participant under a comprehensive  development agreement entered into with the department before  September 1, 2017.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