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2584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code enforcement officer performing official duties to possess or carry an instrument used for deterring an animal bite.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46.15, Penal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provisions of Sections 46.02 and 46.03 prohibiting the possession or carrying of a club do not apply to a code enforcement officer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certificate of registration issued under Chapter 1952, Occupations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possesses or carries an instrument used specifically for deterring an animal bite while the officer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performing official duties;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traveling to or from a place of duty.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1952.051,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education requirements adopted under Subsection (b) must include education regarding the principles and procedures to be followed when possessing or carrying an instrument used specifically for deterring an animal bite.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1952.1051, Occupations Code, is amended to read as follows:</w:t>
      </w:r>
    </w:p>
    <w:p w:rsidR="003F3435" w:rsidRDefault="0032493E">
      <w:pPr>
        <w:spacing w:line="480" w:lineRule="auto"/>
        <w:ind w:firstLine="720"/>
        <w:jc w:val="both"/>
      </w:pPr>
      <w:r>
        <w:t xml:space="preserve">Sec.</w:t>
      </w:r>
      <w:r xml:space="preserve">
        <w:t> </w:t>
      </w:r>
      <w:r>
        <w:t xml:space="preserve">1952.1051.</w:t>
      </w:r>
      <w:r xml:space="preserve">
        <w:t> </w:t>
      </w:r>
      <w:r xml:space="preserve">
        <w:t> </w:t>
      </w:r>
      <w:r>
        <w:t xml:space="preserve">CONTINUING EDUCATION.  The commission by rule shall prescribe continuing education requirements for code enforcement officers and code enforcement officers in training that:</w:t>
      </w:r>
    </w:p>
    <w:p w:rsidR="003F3435" w:rsidRDefault="0032493E">
      <w:pPr>
        <w:spacing w:line="480" w:lineRule="auto"/>
        <w:ind w:firstLine="1440"/>
        <w:jc w:val="both"/>
      </w:pPr>
      <w:r>
        <w:t xml:space="preserve">(1)</w:t>
      </w:r>
      <w:r xml:space="preserve">
        <w:t> </w:t>
      </w:r>
      <w:r xml:space="preserve">
        <w:t> </w:t>
      </w:r>
      <w:r>
        <w:t xml:space="preserve">establish the number of hours of continuing education required for renewal of a certificate of registration;</w:t>
      </w:r>
    </w:p>
    <w:p w:rsidR="003F3435" w:rsidRDefault="0032493E">
      <w:pPr>
        <w:spacing w:line="480" w:lineRule="auto"/>
        <w:ind w:firstLine="1440"/>
        <w:jc w:val="both"/>
      </w:pPr>
      <w:r>
        <w:t xml:space="preserve">(2)</w:t>
      </w:r>
      <w:r xml:space="preserve">
        <w:t> </w:t>
      </w:r>
      <w:r xml:space="preserve">
        <w:t> </w:t>
      </w:r>
      <w:r>
        <w:t xml:space="preserve">establish an approved curriculum that includes material regarding changes in applicable law </w:t>
      </w:r>
      <w:r>
        <w:rPr>
          <w:u w:val="single"/>
        </w:rPr>
        <w:t xml:space="preserve">and the principles and procedures to be followed when possessing or carrying an instrument used specifically for deterring an animal bite</w:t>
      </w:r>
      <w:r>
        <w:t xml:space="preserve">; and</w:t>
      </w:r>
    </w:p>
    <w:p w:rsidR="003F3435" w:rsidRDefault="0032493E">
      <w:pPr>
        <w:spacing w:line="480" w:lineRule="auto"/>
        <w:ind w:firstLine="1440"/>
        <w:jc w:val="both"/>
      </w:pPr>
      <w:r>
        <w:t xml:space="preserve">(3)</w:t>
      </w:r>
      <w:r xml:space="preserve">
        <w:t> </w:t>
      </w:r>
      <w:r xml:space="preserve">
        <w:t> </w:t>
      </w:r>
      <w:r>
        <w:t xml:space="preserve">provide that the approved curriculum may be taught by suitable public agencies and by private entities approved by the department.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As soon as practicable after the effective date of this Act, the Texas Commission of Licensing and Regulation shall adopt the rules necessary to implement Sections 1952.051 and 1952.1051, Occupations Code, as amended by this Act.</w:t>
      </w:r>
    </w:p>
    <w:p w:rsidR="003F3435" w:rsidRDefault="0032493E">
      <w:pPr>
        <w:spacing w:line="480" w:lineRule="auto"/>
        <w:ind w:firstLine="720"/>
        <w:jc w:val="both"/>
      </w:pPr>
      <w:r>
        <w:t xml:space="preserve">(b)</w:t>
      </w:r>
      <w:r xml:space="preserve">
        <w:t> </w:t>
      </w:r>
      <w:r xml:space="preserve">
        <w:t> </w:t>
      </w:r>
      <w:r>
        <w:t xml:space="preserve">A code enforcement officer shall complete the education requirements described by Section 1952.051(c), Occupations Code, as added by this Act, before the officer may possess or carry an instrument used specifically for deterring an animal bite as provided by Section 46.15(h), Penal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2584 was passed by the House on May 7, 2019, by the following vote:</w:t>
      </w:r>
      <w:r xml:space="preserve">
        <w:t> </w:t>
      </w:r>
      <w:r xml:space="preserve">
        <w:t> </w:t>
      </w:r>
      <w:r>
        <w:t xml:space="preserve">Yeas 146, Nays 0, 2 present, not voting; and that the House concurred in Senate amendments to H.B. No. 2584 on May 24, 2019, by the following vote:</w:t>
      </w:r>
      <w:r xml:space="preserve">
        <w:t> </w:t>
      </w:r>
      <w:r xml:space="preserve">
        <w:t> </w:t>
      </w:r>
      <w:r>
        <w:t xml:space="preserve">Yeas 121, Nays 19,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2584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