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86R12727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consent for certain municipal annexations.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43, Local Government Code, is amended by adding Section 43.035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CONSENT REQUIRED FOR CERTAIN ANNEXATIONS.  A municipality with a population of more than 300,000 may not annex an area located in a county with a population of more than 50,000 and less than 300,000 without the consent of that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43.035, Local Government Code, as added by this Act, applies only to an annexation that is not final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