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86R13655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2592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establishment of an employee grievance procedure for the Health and Human Services Commission and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531, Government Code, is amended by adding Section 531.0095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531.0095.</w:t>
      </w:r>
      <w:r>
        <w:rPr>
          <w:u w:val="single"/>
        </w:rPr>
        <w:t xml:space="preserve"> </w:t>
      </w:r>
      <w:r>
        <w:rPr>
          <w:u w:val="single"/>
        </w:rPr>
        <w:t xml:space="preserve"> </w:t>
      </w:r>
      <w:r>
        <w:rPr>
          <w:u w:val="single"/>
        </w:rPr>
        <w:t xml:space="preserve">EMPLOYEE GRIEVANCE PROCEDURE.  The executive commissioner by rule shall establish a grievance procedure for commission employees and employees of the Department of Family and Protective Services. </w:t>
      </w:r>
      <w:r>
        <w:rPr>
          <w:u w:val="single"/>
        </w:rPr>
        <w:t xml:space="preserve"> </w:t>
      </w:r>
      <w:r>
        <w:rPr>
          <w:u w:val="single"/>
        </w:rPr>
        <w:t xml:space="preserve">The procedure must allow an employee to appeal a dispute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disciplinary action,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oral or written reprimand;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demotion;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suspension;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reduction in compensation;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termination for cause and at will;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employee's compensation or working conditions, including required working hours.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executive commissioner of the Health and Human Services Commission shall adopt rules necessary to implement Section 531.0095,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