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86R12217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to challenge a candidate's application for a place on the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w:t>
      </w:r>
      <w:r>
        <w:rPr>
          <w:u w:val="single"/>
        </w:rPr>
        <w:t xml:space="preserve">50th</w:t>
      </w:r>
      <w:r>
        <w:t xml:space="preserve"> day before [</w:t>
      </w:r>
      <w:r>
        <w:rPr>
          <w:strike/>
        </w:rPr>
        <w:t xml:space="preserve">any ballot to be voted early by mail is mailed to an address in the authority's jurisdiction for</w:t>
      </w:r>
      <w:r>
        <w:t xml:space="preserve">] the </w:t>
      </w:r>
      <w:r>
        <w:rPr>
          <w:u w:val="single"/>
        </w:rPr>
        <w:t xml:space="preserve">date of the</w:t>
      </w:r>
      <w:r>
        <w:t xml:space="preserve"> election for which the application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under Subchapter B, Chapter 141, Election Code, on or after the effective date of this Act.   An application filed before the effective date of this Act is subject to the law in effect at the time the report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